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07" w:rsidRDefault="00BD6E07" w:rsidP="00BD6E07">
      <w:r>
        <w:t xml:space="preserve">Sono di seguito riportate le definizioni previste dal </w:t>
      </w:r>
      <w:r>
        <w:t>REGOLAMENTO (UE) 2016/679 DEL PARLAMENTO</w:t>
      </w:r>
      <w:r>
        <w:t xml:space="preserve"> </w:t>
      </w:r>
      <w:r>
        <w:t>EUROPEO E DEL CONSIGLIO</w:t>
      </w:r>
      <w:r>
        <w:t xml:space="preserve"> </w:t>
      </w:r>
      <w:r>
        <w:t>del 27 aprile 2016</w:t>
      </w:r>
      <w:r>
        <w:t xml:space="preserve"> </w:t>
      </w:r>
      <w:r>
        <w:t>relativo alla protezione delle persone fisiche</w:t>
      </w:r>
      <w:r>
        <w:t xml:space="preserve"> </w:t>
      </w:r>
      <w:r>
        <w:t>con riguardo al trattamento dei dati personali,</w:t>
      </w:r>
      <w:r>
        <w:t xml:space="preserve"> </w:t>
      </w:r>
      <w:r>
        <w:t>nonché alla libera circolazione di tali dati</w:t>
      </w:r>
      <w:r>
        <w:t xml:space="preserve"> </w:t>
      </w:r>
      <w:r>
        <w:t>e che abroga la direttiva 95/46/CE</w:t>
      </w:r>
      <w:r>
        <w:t xml:space="preserve"> </w:t>
      </w:r>
      <w:r>
        <w:t>(regolamento generale sulla protezione dei dati)</w:t>
      </w:r>
      <w:r>
        <w:t xml:space="preserve">. </w:t>
      </w:r>
    </w:p>
    <w:p w:rsidR="00BD6E07" w:rsidRDefault="00BD6E07" w:rsidP="00BD6E07">
      <w:r>
        <w:t>Per ulteriori approfondimenti, leggere i “considerando” del Regolamento riportati tra parantesi alla fine della definizione.</w:t>
      </w:r>
    </w:p>
    <w:p w:rsidR="00341826" w:rsidRDefault="00341826" w:rsidP="00BD6E0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7603"/>
      </w:tblGrid>
      <w:tr w:rsidR="00BD6E07" w:rsidTr="00341826">
        <w:tc>
          <w:tcPr>
            <w:tcW w:w="2025" w:type="dxa"/>
          </w:tcPr>
          <w:p w:rsidR="00BD6E07" w:rsidRDefault="00BD6E07" w:rsidP="00341826">
            <w:pPr>
              <w:spacing w:before="120" w:after="120"/>
            </w:pPr>
            <w:r>
              <w:t>D</w:t>
            </w:r>
            <w:r>
              <w:t>ato personale</w:t>
            </w:r>
          </w:p>
        </w:tc>
        <w:tc>
          <w:tcPr>
            <w:tcW w:w="7603" w:type="dxa"/>
          </w:tcPr>
          <w:p w:rsidR="00BD6E07" w:rsidRDefault="00BD6E07" w:rsidP="00341826">
            <w:pPr>
              <w:spacing w:before="120" w:after="120"/>
            </w:pPr>
            <w:r>
              <w:t>qualsiasi informazione riguardante una persona fisica identificata o</w:t>
            </w:r>
            <w:r>
              <w:t xml:space="preserve"> </w:t>
            </w:r>
            <w:r>
              <w:t>identificabile (interessato); si considera identificabile la persona fisica che può essere</w:t>
            </w:r>
            <w:r>
              <w:t xml:space="preserve"> </w:t>
            </w:r>
            <w:r>
              <w:t>identificata, direttamente o indirettamente, con particolare riferimento a un identificativo</w:t>
            </w:r>
            <w:r>
              <w:t xml:space="preserve"> </w:t>
            </w:r>
            <w:r>
              <w:t>come il nome, un numero di identificazione, dati relativi all’ubicazione, un identificativo</w:t>
            </w:r>
            <w:r>
              <w:t xml:space="preserve"> </w:t>
            </w:r>
            <w:r>
              <w:t>online o a uno o più elementi caratteristici della sua identità fisica, fisiologica, genetica,</w:t>
            </w:r>
            <w:r>
              <w:t xml:space="preserve"> </w:t>
            </w:r>
            <w:r>
              <w:t>psichica, economica, culturale o sociale; (C26, C27, C30)</w:t>
            </w:r>
          </w:p>
        </w:tc>
      </w:tr>
      <w:tr w:rsidR="00BD6E07" w:rsidTr="00341826">
        <w:tc>
          <w:tcPr>
            <w:tcW w:w="2025" w:type="dxa"/>
          </w:tcPr>
          <w:p w:rsidR="00BD6E07" w:rsidRDefault="00BD6E07" w:rsidP="00341826">
            <w:pPr>
              <w:spacing w:before="120" w:after="120"/>
            </w:pPr>
            <w:r>
              <w:t>T</w:t>
            </w:r>
            <w:r>
              <w:t>rattamento</w:t>
            </w:r>
          </w:p>
        </w:tc>
        <w:tc>
          <w:tcPr>
            <w:tcW w:w="7603" w:type="dxa"/>
          </w:tcPr>
          <w:p w:rsidR="00BD6E07" w:rsidRDefault="00BD6E07" w:rsidP="00341826">
            <w:pPr>
              <w:spacing w:before="120" w:after="120"/>
            </w:pPr>
            <w:r>
              <w:t>qualsiasi operazione o insieme di operazioni, compiute con o senza</w:t>
            </w:r>
            <w:r>
              <w:t xml:space="preserve"> </w:t>
            </w:r>
            <w:r>
              <w:t>l’ausilio di processi automatizzati e applicate a dati personali o insiemi di dati personali,</w:t>
            </w:r>
            <w:r>
              <w:t xml:space="preserve"> </w:t>
            </w:r>
            <w:r>
              <w:t>come la raccolta, la registrazione, l’organizzazione, la strutturazione, la conservazione,</w:t>
            </w:r>
            <w:r>
              <w:t xml:space="preserve"> </w:t>
            </w:r>
            <w:r>
              <w:t>l’adattamento o la modifica, l’estrazione, la consultazione, l’uso, la comunicazione</w:t>
            </w:r>
            <w:r>
              <w:t xml:space="preserve"> </w:t>
            </w:r>
            <w:r>
              <w:t>mediant</w:t>
            </w:r>
            <w:bookmarkStart w:id="0" w:name="_GoBack"/>
            <w:bookmarkEnd w:id="0"/>
            <w:r>
              <w:t>e trasmissione, diffusione o qualsiasi altra forma di messa a disposizione, il raffronto</w:t>
            </w:r>
            <w:r>
              <w:t xml:space="preserve"> </w:t>
            </w:r>
            <w:r>
              <w:t>o l’interconnessione, la limitazione, la cancellazione o la distruzione;</w:t>
            </w:r>
          </w:p>
        </w:tc>
      </w:tr>
      <w:tr w:rsidR="00BD6E07" w:rsidTr="00341826">
        <w:tc>
          <w:tcPr>
            <w:tcW w:w="2025" w:type="dxa"/>
          </w:tcPr>
          <w:p w:rsidR="00BD6E07" w:rsidRDefault="00341826" w:rsidP="00341826">
            <w:pPr>
              <w:spacing w:before="120" w:after="120"/>
            </w:pPr>
            <w:r>
              <w:t>Limitazione di trattamento</w:t>
            </w:r>
          </w:p>
        </w:tc>
        <w:tc>
          <w:tcPr>
            <w:tcW w:w="7603" w:type="dxa"/>
          </w:tcPr>
          <w:p w:rsidR="00BD6E07" w:rsidRDefault="00BD6E07" w:rsidP="00341826">
            <w:pPr>
              <w:spacing w:before="120" w:after="120"/>
            </w:pPr>
            <w:r>
              <w:t>il contrassegno dei dati personali conservati con l’obiettivo di limitarne il trattamento in futuro; (C67)</w:t>
            </w:r>
          </w:p>
        </w:tc>
      </w:tr>
      <w:tr w:rsidR="00BD6E07" w:rsidTr="00341826">
        <w:tc>
          <w:tcPr>
            <w:tcW w:w="2025" w:type="dxa"/>
          </w:tcPr>
          <w:p w:rsidR="00BD6E07" w:rsidRDefault="00341826" w:rsidP="00341826">
            <w:pPr>
              <w:spacing w:before="120" w:after="120"/>
            </w:pPr>
            <w:r>
              <w:t>Profilazione</w:t>
            </w:r>
          </w:p>
        </w:tc>
        <w:tc>
          <w:tcPr>
            <w:tcW w:w="7603" w:type="dxa"/>
          </w:tcPr>
          <w:p w:rsidR="00BD6E07" w:rsidRDefault="00BD6E07" w:rsidP="00341826">
            <w:pPr>
              <w:spacing w:before="120" w:after="120"/>
            </w:pPr>
            <w:r>
              <w:t>qualsiasi forma di trattamento automatizzato di dati personali consistente nell’utilizzo di tali dati personali per valutare determinati aspetti personali relativi a una persona fisica, in particolare per analizzare o prevedere aspetti riguardanti il rendimento professionale, la situazione economica, la salute, le preferenze personali, gli interessi, l’affidabilità, il comportamento, l’ubicazione o gli spostamenti di detta persona fisica; (C24, C30, C71-C72)</w:t>
            </w:r>
          </w:p>
        </w:tc>
      </w:tr>
      <w:tr w:rsidR="00BD6E07" w:rsidTr="00341826">
        <w:tc>
          <w:tcPr>
            <w:tcW w:w="2025" w:type="dxa"/>
          </w:tcPr>
          <w:p w:rsidR="00BD6E07" w:rsidRDefault="00341826" w:rsidP="00341826">
            <w:pPr>
              <w:spacing w:before="120" w:after="120"/>
            </w:pPr>
            <w:r>
              <w:t>Pseudonimizzazione</w:t>
            </w:r>
          </w:p>
        </w:tc>
        <w:tc>
          <w:tcPr>
            <w:tcW w:w="7603" w:type="dxa"/>
          </w:tcPr>
          <w:p w:rsidR="00BD6E07" w:rsidRDefault="00BD6E07" w:rsidP="00341826">
            <w:pPr>
              <w:spacing w:before="120" w:after="120"/>
            </w:pPr>
            <w:r>
              <w:t>il trattamento dei dati personali in modo tale che i dati personali</w:t>
            </w:r>
            <w:r>
              <w:t xml:space="preserve"> </w:t>
            </w:r>
            <w:r>
              <w:t>non possano più essere attribuiti a un interessato specifico senza l’utilizzo di informazioni aggiuntive, a condizione che tali informazioni aggiuntive siano conservate</w:t>
            </w:r>
            <w:r>
              <w:t xml:space="preserve"> </w:t>
            </w:r>
            <w:r>
              <w:t>separatamente e soggette a misure tecniche e organizzative intese a garantire che tali dati personali non siano attribuiti a una persona fisica identificata o identificabile; (C26, C28-C29)</w:t>
            </w:r>
          </w:p>
        </w:tc>
      </w:tr>
      <w:tr w:rsidR="00BD6E07" w:rsidTr="00341826">
        <w:tc>
          <w:tcPr>
            <w:tcW w:w="2025" w:type="dxa"/>
          </w:tcPr>
          <w:p w:rsidR="00BD6E07" w:rsidRDefault="00341826" w:rsidP="00341826">
            <w:pPr>
              <w:spacing w:before="120" w:after="120"/>
            </w:pPr>
            <w:r>
              <w:t>Archivio</w:t>
            </w:r>
          </w:p>
        </w:tc>
        <w:tc>
          <w:tcPr>
            <w:tcW w:w="7603" w:type="dxa"/>
          </w:tcPr>
          <w:p w:rsidR="00BD6E07" w:rsidRDefault="00BD6E07" w:rsidP="00341826">
            <w:pPr>
              <w:spacing w:before="120" w:after="120"/>
            </w:pPr>
            <w:r>
              <w:t>qualsiasi insieme strutturato di dati personali accessibili secondo criteri determinati, indipendentemente dal fatto che tale insieme sia centralizzato, decentralizzato o ripartito in modo funzionale o geografico; (C15)</w:t>
            </w:r>
          </w:p>
        </w:tc>
      </w:tr>
      <w:tr w:rsidR="00BD6E07" w:rsidTr="00341826">
        <w:tc>
          <w:tcPr>
            <w:tcW w:w="2025" w:type="dxa"/>
          </w:tcPr>
          <w:p w:rsidR="00BD6E07" w:rsidRDefault="00341826" w:rsidP="00341826">
            <w:pPr>
              <w:spacing w:before="120" w:after="120"/>
            </w:pPr>
            <w:r>
              <w:t>Titolare del trattamento</w:t>
            </w:r>
          </w:p>
        </w:tc>
        <w:tc>
          <w:tcPr>
            <w:tcW w:w="7603" w:type="dxa"/>
          </w:tcPr>
          <w:p w:rsidR="00BD6E07" w:rsidRDefault="00BD6E07" w:rsidP="00341826">
            <w:pPr>
              <w:spacing w:before="120" w:after="120"/>
            </w:pPr>
            <w:r>
              <w:t xml:space="preserve">la persona fisica o giuridica, l’autorità pubblica, il servizio o altro organismo che, singolarmente o insieme ad altri, determina le finalità e i mezzi del trattamento di dati personali; quando le finalità e i mezzi di tale trattamento sono determinati dal diritto dell’Unione o degli Stati membri, il titolare del trattamento o i criteri </w:t>
            </w:r>
            <w:r>
              <w:lastRenderedPageBreak/>
              <w:t>specifici applicabili alla sua designazione possono essere stabiliti dal diritto dell’Unione o degli Stati membri; (C74)</w:t>
            </w:r>
          </w:p>
        </w:tc>
      </w:tr>
      <w:tr w:rsidR="00BD6E07" w:rsidTr="00341826">
        <w:tc>
          <w:tcPr>
            <w:tcW w:w="2025" w:type="dxa"/>
          </w:tcPr>
          <w:p w:rsidR="00BD6E07" w:rsidRDefault="00341826" w:rsidP="00341826">
            <w:pPr>
              <w:spacing w:before="120" w:after="120"/>
            </w:pPr>
            <w:r>
              <w:lastRenderedPageBreak/>
              <w:t>Responsabile del trattamento</w:t>
            </w:r>
          </w:p>
        </w:tc>
        <w:tc>
          <w:tcPr>
            <w:tcW w:w="7603" w:type="dxa"/>
          </w:tcPr>
          <w:p w:rsidR="00BD6E07" w:rsidRDefault="00BD6E07" w:rsidP="00341826">
            <w:pPr>
              <w:spacing w:before="120" w:after="120"/>
            </w:pPr>
            <w:r>
              <w:t>la persona fisica o giuridica, l’autorità pubblica, il servizio o altro organismo che tratta dati personali per conto del titolare del trattamento</w:t>
            </w:r>
          </w:p>
        </w:tc>
      </w:tr>
      <w:tr w:rsidR="00BD6E07" w:rsidTr="00341826">
        <w:tc>
          <w:tcPr>
            <w:tcW w:w="2025" w:type="dxa"/>
          </w:tcPr>
          <w:p w:rsidR="00BD6E07" w:rsidRDefault="00341826" w:rsidP="00341826">
            <w:pPr>
              <w:spacing w:before="120" w:after="120"/>
            </w:pPr>
            <w:r>
              <w:t>Destinatario</w:t>
            </w:r>
          </w:p>
        </w:tc>
        <w:tc>
          <w:tcPr>
            <w:tcW w:w="7603" w:type="dxa"/>
          </w:tcPr>
          <w:p w:rsidR="00BD6E07" w:rsidRDefault="00BD6E07" w:rsidP="00341826">
            <w:pPr>
              <w:spacing w:before="120" w:after="120"/>
            </w:pPr>
            <w:r>
              <w:t>la persona fisica o giuridica, l’autorità pubblica, il servizio o un altro organismo che riceve comunicazione di dati personali, che si tratti o meno di terzi. Tuttavia, le autorità pubbliche che possono ricevere comunicazione di dati personali nell’ambito di una specifica indagine conformemente al diritto dell’Unione o degli Stati membri non sono considerate destinatari; il trattamento di tali dati da parte di dette autorità pubbliche è conforme alle norme applicabili in materia di protezione dei dati secondo le finalità del trattamento; (C31)</w:t>
            </w:r>
          </w:p>
        </w:tc>
      </w:tr>
      <w:tr w:rsidR="00BD6E07" w:rsidTr="00341826">
        <w:tc>
          <w:tcPr>
            <w:tcW w:w="2025" w:type="dxa"/>
          </w:tcPr>
          <w:p w:rsidR="00BD6E07" w:rsidRDefault="00341826" w:rsidP="00341826">
            <w:pPr>
              <w:spacing w:before="120" w:after="120"/>
            </w:pPr>
            <w:r>
              <w:t>Terzo</w:t>
            </w:r>
          </w:p>
        </w:tc>
        <w:tc>
          <w:tcPr>
            <w:tcW w:w="7603" w:type="dxa"/>
          </w:tcPr>
          <w:p w:rsidR="00BD6E07" w:rsidRDefault="00A82BD5" w:rsidP="00341826">
            <w:pPr>
              <w:spacing w:before="120" w:after="120"/>
            </w:pPr>
            <w:r>
              <w:t>la persona fisica o giuridica, l’autorità pubblica, il servizio o altro organismo che non sia l’interessato, il titolare del trattamento, il responsabile del trattamento e le persone autorizzate al trattamento dei dati personali sotto l’autorità diretta del titolare o del responsabile;</w:t>
            </w:r>
          </w:p>
        </w:tc>
      </w:tr>
      <w:tr w:rsidR="00BD6E07" w:rsidTr="00341826">
        <w:tc>
          <w:tcPr>
            <w:tcW w:w="2025" w:type="dxa"/>
          </w:tcPr>
          <w:p w:rsidR="00BD6E07" w:rsidRDefault="00341826" w:rsidP="00341826">
            <w:pPr>
              <w:spacing w:before="120" w:after="120"/>
            </w:pPr>
            <w:r>
              <w:t>Consenso dell’interessato</w:t>
            </w:r>
          </w:p>
        </w:tc>
        <w:tc>
          <w:tcPr>
            <w:tcW w:w="7603" w:type="dxa"/>
          </w:tcPr>
          <w:p w:rsidR="00BD6E07" w:rsidRDefault="00A82BD5" w:rsidP="00341826">
            <w:pPr>
              <w:spacing w:before="120" w:after="120"/>
            </w:pPr>
            <w:r>
              <w:t>qualsiasi manifestazione di volontà libera, specifica,</w:t>
            </w:r>
            <w:r>
              <w:t xml:space="preserve"> </w:t>
            </w:r>
            <w:r>
              <w:t>informata e inequivocabile dell’interessato, con la quale lo stesso manifesta il proprio</w:t>
            </w:r>
            <w:r>
              <w:t xml:space="preserve"> </w:t>
            </w:r>
            <w:r>
              <w:t>assenso, mediante dichiarazione o azione positiva inequivocabile, che i dati personali che</w:t>
            </w:r>
            <w:r>
              <w:t xml:space="preserve"> </w:t>
            </w:r>
            <w:r>
              <w:t>lo riguardano siano oggetto di trattamento; (C32, C33)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>Violazione dei dati personali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la violazione di sicurezza che comporta accidentalmente o in modo illecito la distruzione, la perdita, la modifica, la divulgazione non autorizzata o l’accesso ai dati personali trasmessi, conservati o comunque trattati; (C85)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>Dati genetici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i dati personali relativi alle caratteristiche genetiche ereditarie o acquisite di una persona fisica che forniscono informazioni univoche sulla fisiologia o sulla salute di detta persona fisica, e che risultano in particolare dall’analisi di un campione biologico della persona fisica in questione; (C34)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>Dati biometrici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i dati personali ottenuti da un trattamento tecnico specifico relativi alle caratteristiche fisiche, fisiologiche o comportamentali di una persona fisica che ne consentono o confermano l’identificazione univoca, quali l’immagine facciale o i dati dattiloscopici; (C51)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>Dati relativi alla salute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i dati personali attinenti alla salute fisica o mentale di una persona fisica, compresa la prestazione di servizi di assistenza sanitaria, che rivelano informazioni relative al suo stato di salute; (C35)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 xml:space="preserve">Stabilimento </w:t>
            </w:r>
            <w:r w:rsidR="00A82BD5">
              <w:t>principale: (C36, C37)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a) per quanto riguarda un titolare del trattamento con stabilimenti in più di uno Stato</w:t>
            </w:r>
            <w:r>
              <w:t xml:space="preserve"> </w:t>
            </w:r>
            <w:r>
              <w:t>membro, il luogo della sua amministrazione centrale nell’Unione, salvo che le decisioni</w:t>
            </w:r>
            <w:r>
              <w:t xml:space="preserve"> </w:t>
            </w:r>
            <w:r>
              <w:t>sulle finalità e i mezzi del trattamento di dati personali siano adottate in un altro stabilimento</w:t>
            </w:r>
            <w:r>
              <w:t xml:space="preserve"> </w:t>
            </w:r>
            <w:r>
              <w:t>del titolare del trattamento nell’Unione e che quest’ultimo stabilimento</w:t>
            </w:r>
            <w:r>
              <w:t xml:space="preserve"> </w:t>
            </w:r>
            <w:r>
              <w:t>abbia facoltà di ordinare l’esecuzione di tali decisioni, nel qual caso lo stabilimento che</w:t>
            </w:r>
            <w:r>
              <w:t xml:space="preserve"> </w:t>
            </w:r>
            <w:r>
              <w:t>ha adottato siffatte decisioni è considerato essere lo stabilimento principale;</w:t>
            </w:r>
          </w:p>
          <w:p w:rsidR="00A82BD5" w:rsidRDefault="00A82BD5" w:rsidP="00341826">
            <w:pPr>
              <w:spacing w:before="120" w:after="120"/>
            </w:pPr>
            <w:r>
              <w:t>b) con riferimento a un responsabile del trattamento con stabilimenti in più di uno Stato</w:t>
            </w:r>
            <w:r>
              <w:t xml:space="preserve"> </w:t>
            </w:r>
            <w:r>
              <w:t>membro, il luogo in cui ha sede la sua amministrazione centrale nell’Unione o, se il</w:t>
            </w:r>
            <w:r>
              <w:t xml:space="preserve"> </w:t>
            </w:r>
            <w:r>
              <w:t xml:space="preserve">responsabile del trattamento non ha un’amministrazione centrale </w:t>
            </w:r>
            <w:r>
              <w:lastRenderedPageBreak/>
              <w:t>nell’Unione, lo stabilimento</w:t>
            </w:r>
            <w:r>
              <w:t xml:space="preserve"> </w:t>
            </w:r>
            <w:r>
              <w:t>del responsabile del trattamento nell’Unione in cui sono condotte le principali</w:t>
            </w:r>
            <w:r>
              <w:t xml:space="preserve"> </w:t>
            </w:r>
            <w:r>
              <w:t>attività di trattamento nel contesto delle attività di uno stabilimento del responsabile</w:t>
            </w:r>
            <w:r>
              <w:t xml:space="preserve"> </w:t>
            </w:r>
            <w:r>
              <w:t>del trattamento nella misura in cui tale responsabile è soggetto a obblighi specifici</w:t>
            </w:r>
            <w:r>
              <w:t xml:space="preserve"> </w:t>
            </w:r>
            <w:r>
              <w:t>ai sensi del presente regolamento;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lastRenderedPageBreak/>
              <w:t>Rap</w:t>
            </w:r>
            <w:r w:rsidR="00A82BD5">
              <w:t>presentante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la persona fisica o giuridica stabilita nell’Unione che, designata dal</w:t>
            </w:r>
            <w:r>
              <w:t xml:space="preserve"> </w:t>
            </w:r>
            <w:r>
              <w:t>titolare del trattamento o dal responsabile del trattamento per iscritto ai sensi dell’articolo 27, li rappresenta per quanto riguarda gli obblighi rispettivi a norma del presente regolamento;</w:t>
            </w:r>
            <w:r>
              <w:t xml:space="preserve"> </w:t>
            </w:r>
            <w:r>
              <w:t>(C80)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>Impresa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la persona fisica o giuridica, indipendentemente dalla forma giuridica rivestita,</w:t>
            </w:r>
            <w:r>
              <w:t xml:space="preserve"> </w:t>
            </w:r>
            <w:r>
              <w:t>che eserciti un’attività economica, comprendente le società di persone o le associazioni</w:t>
            </w:r>
            <w:r>
              <w:t xml:space="preserve"> </w:t>
            </w:r>
            <w:r>
              <w:t>che esercitano regolarmente un’attività economica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>Gruppo imprenditoriale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un gruppo costituito da un’impresa controllante e dalle imprese da questa controllate; (C37, C48)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>Norme vincolanti d’impresa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le politiche in materia di protezione dei dati personali applicate da un titolare del trattamento o responsabile del trattamento stabilito nel territorio di uno Stato membro al trasferimento o al complesso di trasferimenti di dati personali a un titolare del trattamento o responsabile del trattamento in uno o più paesi terzi, nell’ambito di un gruppo imprenditoriale o di un gruppo di imprese che svolge un’attività economica comune; (C37, C110)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>Autorità di controllo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l’autorità pubblica indipendente istituita da uno Stato membro ai sensi dell’articolo 51;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>Autorità di controllo interessata</w:t>
            </w:r>
          </w:p>
        </w:tc>
        <w:tc>
          <w:tcPr>
            <w:tcW w:w="7603" w:type="dxa"/>
          </w:tcPr>
          <w:p w:rsidR="00A82BD5" w:rsidRDefault="00A82BD5" w:rsidP="00341826">
            <w:pPr>
              <w:spacing w:before="120" w:after="120"/>
            </w:pPr>
            <w:r>
              <w:t>un’autorità di controllo interessata dal trattamento</w:t>
            </w:r>
            <w:r>
              <w:t xml:space="preserve"> </w:t>
            </w:r>
            <w:r>
              <w:t>di dati personali in quanto: (C124)</w:t>
            </w:r>
          </w:p>
          <w:p w:rsidR="00A82BD5" w:rsidRDefault="00A82BD5" w:rsidP="00341826">
            <w:pPr>
              <w:spacing w:before="120" w:after="120"/>
            </w:pPr>
            <w:r>
              <w:t>a) il titolare del trattamento o il responsabile del trattamento è stabilito sul territorio dello</w:t>
            </w:r>
            <w:r>
              <w:t xml:space="preserve"> </w:t>
            </w:r>
            <w:r>
              <w:t>Stato membro di tale autorità di controllo;</w:t>
            </w:r>
          </w:p>
          <w:p w:rsidR="00A82BD5" w:rsidRDefault="00A82BD5" w:rsidP="00341826">
            <w:pPr>
              <w:spacing w:before="120" w:after="120"/>
            </w:pPr>
            <w:r>
              <w:t>b) gli interessati che risiedono nello Stato membro dell’autorità di controllo sono o sono</w:t>
            </w:r>
            <w:r>
              <w:t xml:space="preserve"> </w:t>
            </w:r>
            <w:r>
              <w:t>probabilmente influenzati in modo sostanziale dal trattamento; oppure</w:t>
            </w:r>
          </w:p>
          <w:p w:rsidR="00A82BD5" w:rsidRDefault="00A82BD5" w:rsidP="00341826">
            <w:pPr>
              <w:spacing w:before="120" w:after="120"/>
            </w:pPr>
            <w:r>
              <w:t>c) un reclamo è stato proposto a tale autorità di controllo;</w:t>
            </w:r>
          </w:p>
        </w:tc>
      </w:tr>
      <w:tr w:rsidR="00A82BD5" w:rsidTr="00341826">
        <w:tc>
          <w:tcPr>
            <w:tcW w:w="2025" w:type="dxa"/>
          </w:tcPr>
          <w:p w:rsidR="00341826" w:rsidRDefault="00341826" w:rsidP="00341826">
            <w:pPr>
              <w:spacing w:before="120" w:after="120"/>
            </w:pPr>
            <w:r>
              <w:t>Trattamento tra</w:t>
            </w:r>
            <w:r>
              <w:t>nsfrontaliero</w:t>
            </w:r>
          </w:p>
          <w:p w:rsidR="00A82BD5" w:rsidRDefault="00A82BD5" w:rsidP="00341826">
            <w:pPr>
              <w:spacing w:before="120" w:after="120"/>
            </w:pPr>
          </w:p>
        </w:tc>
        <w:tc>
          <w:tcPr>
            <w:tcW w:w="7603" w:type="dxa"/>
          </w:tcPr>
          <w:p w:rsidR="00A82BD5" w:rsidRDefault="00341826" w:rsidP="00341826">
            <w:pPr>
              <w:spacing w:before="120" w:after="120"/>
            </w:pPr>
            <w:r>
              <w:t>a) trattamento di dati personali che ha luogo nell’ambito delle attività di stabilimenti in</w:t>
            </w:r>
            <w:r>
              <w:t xml:space="preserve"> </w:t>
            </w:r>
            <w:r>
              <w:t>più di uno Stato membro di un titolare del trattamento o responsabile del trattamento</w:t>
            </w:r>
            <w:r>
              <w:t xml:space="preserve"> </w:t>
            </w:r>
            <w:r>
              <w:t>nell’Unione ove il titolare del trattamento o il responsabile del trattamento siano stabiliti</w:t>
            </w:r>
            <w:r>
              <w:t xml:space="preserve"> </w:t>
            </w:r>
            <w:r>
              <w:t>in più di uno Stato membro; oppure b) trattamento di dati personali che ha luogo nell’ambito delle attività di un unico stabilimento</w:t>
            </w:r>
            <w:r>
              <w:t xml:space="preserve"> </w:t>
            </w:r>
            <w:r>
              <w:t>di un titolare del trattamento o responsabile del trattamento nell’Unione, ma</w:t>
            </w:r>
            <w:r>
              <w:t xml:space="preserve"> </w:t>
            </w:r>
            <w:r>
              <w:t>che incide o probabilmente incide in modo sostanziale su interessati in più di uno</w:t>
            </w:r>
            <w:r>
              <w:t xml:space="preserve"> </w:t>
            </w:r>
            <w:r>
              <w:t>Stato membro;</w:t>
            </w:r>
          </w:p>
        </w:tc>
      </w:tr>
      <w:tr w:rsidR="00A82BD5" w:rsidTr="00341826">
        <w:tc>
          <w:tcPr>
            <w:tcW w:w="2025" w:type="dxa"/>
          </w:tcPr>
          <w:p w:rsidR="00A82BD5" w:rsidRDefault="00341826" w:rsidP="00341826">
            <w:pPr>
              <w:spacing w:before="120" w:after="120"/>
            </w:pPr>
            <w:r>
              <w:t>Obiezione pertinente e motivata</w:t>
            </w:r>
          </w:p>
        </w:tc>
        <w:tc>
          <w:tcPr>
            <w:tcW w:w="7603" w:type="dxa"/>
          </w:tcPr>
          <w:p w:rsidR="00A82BD5" w:rsidRDefault="00341826" w:rsidP="00341826">
            <w:pPr>
              <w:spacing w:before="120" w:after="120"/>
            </w:pPr>
            <w:r>
              <w:t>un’obiezione al progetto di decisione sul fatto che vi sia o meno una violazione del presente regolamento, oppure che l’azione prevista in relazione al titolare del trattamento o responsabile del trattamento sia conforme al presente regolamento, la quale obiezione dimostra chiaramente la rilevanza dei rischi posti dal progetto di decisione riguardo ai diritti e alle libertà fondamentali degli interessati e, ove applicabile, alla libera circolazione dei dati personali all’interno dell’Unione</w:t>
            </w:r>
          </w:p>
        </w:tc>
      </w:tr>
      <w:tr w:rsidR="00341826" w:rsidTr="00341826">
        <w:tc>
          <w:tcPr>
            <w:tcW w:w="2025" w:type="dxa"/>
          </w:tcPr>
          <w:p w:rsidR="00341826" w:rsidRDefault="00341826" w:rsidP="00341826">
            <w:pPr>
              <w:spacing w:before="120" w:after="120"/>
            </w:pPr>
            <w:r>
              <w:lastRenderedPageBreak/>
              <w:t>Servizio della società dell’informazione</w:t>
            </w:r>
          </w:p>
        </w:tc>
        <w:tc>
          <w:tcPr>
            <w:tcW w:w="7603" w:type="dxa"/>
          </w:tcPr>
          <w:p w:rsidR="00341826" w:rsidRDefault="00341826" w:rsidP="00341826">
            <w:pPr>
              <w:spacing w:before="120" w:after="120"/>
            </w:pPr>
            <w:r>
              <w:t>il servizio definito all’articolo 1, paragrafo</w:t>
            </w:r>
            <w:r>
              <w:t xml:space="preserve"> </w:t>
            </w:r>
            <w:r>
              <w:t>1, lettera b), della direttiva (UE) 2015/1535 del Parlamento europeo e del</w:t>
            </w:r>
            <w:r>
              <w:t xml:space="preserve"> </w:t>
            </w:r>
            <w:r>
              <w:t>Consiglio (19);</w:t>
            </w:r>
          </w:p>
        </w:tc>
      </w:tr>
      <w:tr w:rsidR="00341826" w:rsidTr="00341826">
        <w:tc>
          <w:tcPr>
            <w:tcW w:w="2025" w:type="dxa"/>
          </w:tcPr>
          <w:p w:rsidR="00341826" w:rsidRDefault="00341826" w:rsidP="00341826">
            <w:pPr>
              <w:spacing w:before="120" w:after="120"/>
            </w:pPr>
            <w:r>
              <w:t>Organizzazione internazionale</w:t>
            </w:r>
          </w:p>
        </w:tc>
        <w:tc>
          <w:tcPr>
            <w:tcW w:w="7603" w:type="dxa"/>
          </w:tcPr>
          <w:p w:rsidR="00341826" w:rsidRDefault="00341826" w:rsidP="00341826">
            <w:pPr>
              <w:spacing w:before="120" w:after="120"/>
            </w:pPr>
            <w:r>
              <w:t>un’organizzazione e gli organismi di diritto internazionale pubblico a essa subordinati o qualsiasi altro organismo istituito da o sulla base di un accordo tra due o più Stati</w:t>
            </w:r>
          </w:p>
        </w:tc>
      </w:tr>
    </w:tbl>
    <w:p w:rsidR="00BD6E07" w:rsidRDefault="00BD6E07" w:rsidP="00BD6E07"/>
    <w:sectPr w:rsidR="00BD6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D81" w:rsidRDefault="006F6D81" w:rsidP="00103ADC">
      <w:pPr>
        <w:spacing w:after="0" w:line="240" w:lineRule="auto"/>
      </w:pPr>
      <w:r>
        <w:separator/>
      </w:r>
    </w:p>
  </w:endnote>
  <w:endnote w:type="continuationSeparator" w:id="0">
    <w:p w:rsidR="006F6D81" w:rsidRDefault="006F6D81" w:rsidP="0010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35A" w:rsidRDefault="006633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ADC" w:rsidRDefault="00365E6E" w:rsidP="00365E6E">
    <w:pPr>
      <w:pStyle w:val="Pidipagina"/>
      <w:pBdr>
        <w:top w:val="single" w:sz="4" w:space="1" w:color="auto"/>
      </w:pBdr>
    </w:pPr>
    <w:r>
      <w:rPr>
        <w:rFonts w:ascii="Impact" w:hAnsi="Impact"/>
        <w:color w:val="999999"/>
        <w:sz w:val="28"/>
        <w:szCs w:val="56"/>
      </w:rPr>
      <w:t>m</w:t>
    </w:r>
    <w:r w:rsidRPr="00495C4E">
      <w:rPr>
        <w:rFonts w:ascii="Impact" w:hAnsi="Impact"/>
        <w:color w:val="999999"/>
        <w:sz w:val="28"/>
        <w:szCs w:val="56"/>
      </w:rPr>
      <w:t>oro</w:t>
    </w:r>
    <w:r w:rsidRPr="00495C4E">
      <w:rPr>
        <w:rFonts w:ascii="Impact" w:hAnsi="Impact"/>
        <w:color w:val="FF6600"/>
        <w:sz w:val="28"/>
        <w:szCs w:val="56"/>
      </w:rPr>
      <w:t>labs</w:t>
    </w:r>
    <w:r>
      <w:t xml:space="preserve"> Srl</w:t>
    </w:r>
    <w:r>
      <w:tab/>
    </w:r>
    <w:r>
      <w:rPr>
        <w:color w:val="4472C4" w:themeColor="accent1"/>
        <w:sz w:val="20"/>
        <w:szCs w:val="20"/>
      </w:rPr>
      <w:tab/>
    </w:r>
    <w:r w:rsidR="00103ADC">
      <w:rPr>
        <w:color w:val="4472C4" w:themeColor="accent1"/>
        <w:sz w:val="20"/>
        <w:szCs w:val="20"/>
      </w:rPr>
      <w:t xml:space="preserve">pag. </w:t>
    </w:r>
    <w:r w:rsidR="00103ADC">
      <w:rPr>
        <w:color w:val="4472C4" w:themeColor="accent1"/>
        <w:sz w:val="20"/>
        <w:szCs w:val="20"/>
      </w:rPr>
      <w:fldChar w:fldCharType="begin"/>
    </w:r>
    <w:r w:rsidR="00103ADC">
      <w:rPr>
        <w:color w:val="4472C4" w:themeColor="accent1"/>
        <w:sz w:val="20"/>
        <w:szCs w:val="20"/>
      </w:rPr>
      <w:instrText>PAGE  \* Arabic</w:instrText>
    </w:r>
    <w:r w:rsidR="00103ADC">
      <w:rPr>
        <w:color w:val="4472C4" w:themeColor="accent1"/>
        <w:sz w:val="20"/>
        <w:szCs w:val="20"/>
      </w:rPr>
      <w:fldChar w:fldCharType="separate"/>
    </w:r>
    <w:r w:rsidR="00103ADC">
      <w:rPr>
        <w:color w:val="4472C4" w:themeColor="accent1"/>
        <w:sz w:val="20"/>
        <w:szCs w:val="20"/>
      </w:rPr>
      <w:t>1</w:t>
    </w:r>
    <w:r w:rsidR="00103ADC">
      <w:rPr>
        <w:color w:val="4472C4" w:themeColor="accent1"/>
        <w:sz w:val="20"/>
        <w:szCs w:val="20"/>
      </w:rPr>
      <w:fldChar w:fldCharType="end"/>
    </w:r>
    <w:r w:rsidR="00103ADC">
      <w:rPr>
        <w:color w:val="4472C4" w:themeColor="accent1"/>
        <w:sz w:val="20"/>
        <w:szCs w:val="20"/>
      </w:rPr>
      <w:t xml:space="preserve"> / </w:t>
    </w:r>
    <w:r w:rsidR="00103ADC">
      <w:rPr>
        <w:color w:val="4472C4" w:themeColor="accent1"/>
        <w:sz w:val="20"/>
        <w:szCs w:val="20"/>
      </w:rPr>
      <w:fldChar w:fldCharType="begin"/>
    </w:r>
    <w:r w:rsidR="00103ADC">
      <w:rPr>
        <w:color w:val="4472C4" w:themeColor="accent1"/>
        <w:sz w:val="20"/>
        <w:szCs w:val="20"/>
      </w:rPr>
      <w:instrText xml:space="preserve"> NUMPAGES  \* Arabic  \* MERGEFORMAT </w:instrText>
    </w:r>
    <w:r w:rsidR="00103ADC">
      <w:rPr>
        <w:color w:val="4472C4" w:themeColor="accent1"/>
        <w:sz w:val="20"/>
        <w:szCs w:val="20"/>
      </w:rPr>
      <w:fldChar w:fldCharType="separate"/>
    </w:r>
    <w:r w:rsidR="00103ADC">
      <w:rPr>
        <w:noProof/>
        <w:color w:val="4472C4" w:themeColor="accent1"/>
        <w:sz w:val="20"/>
        <w:szCs w:val="20"/>
      </w:rPr>
      <w:t>1</w:t>
    </w:r>
    <w:r w:rsidR="00103ADC">
      <w:rPr>
        <w:color w:val="4472C4" w:themeColor="accent1"/>
        <w:sz w:val="20"/>
        <w:szCs w:val="20"/>
      </w:rPr>
      <w:fldChar w:fldCharType="end"/>
    </w:r>
  </w:p>
  <w:p w:rsidR="00103ADC" w:rsidRDefault="00103A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35A" w:rsidRDefault="006633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D81" w:rsidRDefault="006F6D81" w:rsidP="00103ADC">
      <w:pPr>
        <w:spacing w:after="0" w:line="240" w:lineRule="auto"/>
      </w:pPr>
      <w:r>
        <w:separator/>
      </w:r>
    </w:p>
  </w:footnote>
  <w:footnote w:type="continuationSeparator" w:id="0">
    <w:p w:rsidR="006F6D81" w:rsidRDefault="006F6D81" w:rsidP="0010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35A" w:rsidRDefault="006633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ADC" w:rsidRDefault="00EC62C1" w:rsidP="00103ADC">
    <w:pPr>
      <w:pStyle w:val="Intestazione"/>
      <w:pBdr>
        <w:bottom w:val="single" w:sz="4" w:space="1" w:color="auto"/>
      </w:pBdr>
    </w:pPr>
    <w:r>
      <w:rPr>
        <w:rFonts w:ascii="Impact" w:hAnsi="Impact"/>
        <w:color w:val="5B9BD5" w:themeColor="accent5"/>
        <w:sz w:val="40"/>
      </w:rPr>
      <w:t>Glossario</w:t>
    </w:r>
    <w:r>
      <w:rPr>
        <w:rFonts w:ascii="Impact" w:hAnsi="Impact"/>
        <w:color w:val="5B9BD5" w:themeColor="accent5"/>
        <w:sz w:val="40"/>
      </w:rPr>
      <w:tab/>
    </w:r>
    <w:r w:rsidR="00103ADC">
      <w:tab/>
    </w:r>
    <w:sdt>
      <w:sdtPr>
        <w:alias w:val="Società"/>
        <w:tag w:val=""/>
        <w:id w:val="-105201108"/>
        <w:placeholder>
          <w:docPart w:val="E058E2EBEA0A4C30A99F022D26E0E29E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4719B">
          <w:t>Istituto di Istruzione Superiore Volterra-Elia</w:t>
        </w:r>
      </w:sdtContent>
    </w:sdt>
  </w:p>
  <w:p w:rsidR="00103ADC" w:rsidRDefault="00103A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35A" w:rsidRDefault="006633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D55"/>
    <w:multiLevelType w:val="hybridMultilevel"/>
    <w:tmpl w:val="30B27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97D"/>
    <w:multiLevelType w:val="hybridMultilevel"/>
    <w:tmpl w:val="50ECE6E6"/>
    <w:lvl w:ilvl="0" w:tplc="5D2259F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00164"/>
    <w:multiLevelType w:val="hybridMultilevel"/>
    <w:tmpl w:val="1EF042C2"/>
    <w:lvl w:ilvl="0" w:tplc="5D2259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8B1"/>
    <w:multiLevelType w:val="hybridMultilevel"/>
    <w:tmpl w:val="F1981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948CD"/>
    <w:multiLevelType w:val="hybridMultilevel"/>
    <w:tmpl w:val="41C20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596B"/>
    <w:multiLevelType w:val="hybridMultilevel"/>
    <w:tmpl w:val="4524D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7E1C"/>
    <w:multiLevelType w:val="hybridMultilevel"/>
    <w:tmpl w:val="7FCAF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DC"/>
    <w:rsid w:val="000430CA"/>
    <w:rsid w:val="0004719B"/>
    <w:rsid w:val="0009262F"/>
    <w:rsid w:val="00103ADC"/>
    <w:rsid w:val="001D6FD0"/>
    <w:rsid w:val="002136BD"/>
    <w:rsid w:val="002D5937"/>
    <w:rsid w:val="00341826"/>
    <w:rsid w:val="00365E6E"/>
    <w:rsid w:val="004526D8"/>
    <w:rsid w:val="0059380C"/>
    <w:rsid w:val="0066335A"/>
    <w:rsid w:val="00691984"/>
    <w:rsid w:val="006B75C1"/>
    <w:rsid w:val="006E474C"/>
    <w:rsid w:val="006F6D81"/>
    <w:rsid w:val="0082410E"/>
    <w:rsid w:val="00954C43"/>
    <w:rsid w:val="00A82BD5"/>
    <w:rsid w:val="00B12ED0"/>
    <w:rsid w:val="00BA74E4"/>
    <w:rsid w:val="00BD6E07"/>
    <w:rsid w:val="00C05091"/>
    <w:rsid w:val="00C4183A"/>
    <w:rsid w:val="00C81DD3"/>
    <w:rsid w:val="00D00176"/>
    <w:rsid w:val="00D71872"/>
    <w:rsid w:val="00DB13CC"/>
    <w:rsid w:val="00EC62C1"/>
    <w:rsid w:val="00F15173"/>
    <w:rsid w:val="00F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7EAAC"/>
  <w15:chartTrackingRefBased/>
  <w15:docId w15:val="{F050BAFD-38A9-42DD-A969-8F1A978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3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7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3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DC"/>
  </w:style>
  <w:style w:type="paragraph" w:styleId="Pidipagina">
    <w:name w:val="footer"/>
    <w:basedOn w:val="Normale"/>
    <w:link w:val="PidipaginaCarattere"/>
    <w:uiPriority w:val="99"/>
    <w:unhideWhenUsed/>
    <w:rsid w:val="00103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DC"/>
  </w:style>
  <w:style w:type="paragraph" w:styleId="Paragrafoelenco">
    <w:name w:val="List Paragraph"/>
    <w:basedOn w:val="Normale"/>
    <w:uiPriority w:val="34"/>
    <w:qFormat/>
    <w:rsid w:val="00103AD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43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75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6B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3-colore1">
    <w:name w:val="List Table 3 Accent 1"/>
    <w:basedOn w:val="Tabellanormale"/>
    <w:uiPriority w:val="48"/>
    <w:rsid w:val="006B75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Rimandocommento">
    <w:name w:val="annotation reference"/>
    <w:uiPriority w:val="99"/>
    <w:unhideWhenUsed/>
    <w:qFormat/>
    <w:rsid w:val="00EC62C1"/>
    <w:rPr>
      <w:sz w:val="16"/>
      <w:szCs w:val="16"/>
      <w:lang w:val="en-GB"/>
    </w:rPr>
  </w:style>
  <w:style w:type="character" w:customStyle="1" w:styleId="TestocommentoCarattere">
    <w:name w:val="Testo commento Carattere"/>
    <w:link w:val="Testocommento"/>
    <w:uiPriority w:val="99"/>
    <w:qFormat/>
    <w:rsid w:val="00EC62C1"/>
    <w:rPr>
      <w:lang w:val="en-GB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C62C1"/>
    <w:pPr>
      <w:spacing w:after="200" w:line="276" w:lineRule="auto"/>
    </w:pPr>
    <w:rPr>
      <w:lang w:val="en-GB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EC62C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C62C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2C1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66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58E2EBEA0A4C30A99F022D26E0E2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6E5401-D66C-49A4-ABFA-8402A19CA132}"/>
      </w:docPartPr>
      <w:docPartBody>
        <w:p w:rsidR="002558E1" w:rsidRDefault="00391ED5">
          <w:r w:rsidRPr="00EF1090">
            <w:rPr>
              <w:rStyle w:val="Testosegnaposto"/>
            </w:rPr>
            <w:t>[Società]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0D"/>
    <w:rsid w:val="002558E1"/>
    <w:rsid w:val="00280F93"/>
    <w:rsid w:val="00391ED5"/>
    <w:rsid w:val="0043624F"/>
    <w:rsid w:val="0050240D"/>
    <w:rsid w:val="0060486E"/>
    <w:rsid w:val="0071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1ED5"/>
  </w:style>
  <w:style w:type="paragraph" w:customStyle="1" w:styleId="C87C474BA8664DFA97BA4234B758F2B9">
    <w:name w:val="C87C474BA8664DFA97BA4234B758F2B9"/>
    <w:rsid w:val="00502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[Rev. 00 – 29/08/2018]</vt:lpstr>
    </vt:vector>
  </TitlesOfParts>
  <Manager>http://www.asur.marche.it/</Manager>
  <Company>ASUR MARCHE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[Rev. 01 – 31/01/2019]</dc:title>
  <dc:subject>Via Guglielmo Oberdan, 2 60122 Ancona AN</dc:subject>
  <dc:creator>Francesco Moroncini</dc:creator>
  <cp:keywords>[Rev. 01 – 31/01/2019]; 80011010420</cp:keywords>
  <dc:description>asur@emarche.it</dc:description>
  <cp:lastModifiedBy>francesco moroncini</cp:lastModifiedBy>
  <cp:revision>12</cp:revision>
  <dcterms:created xsi:type="dcterms:W3CDTF">2018-07-16T19:29:00Z</dcterms:created>
  <dcterms:modified xsi:type="dcterms:W3CDTF">2018-08-29T13:50:00Z</dcterms:modified>
  <cp:category>071.2911510-11-21 / 071.2911500; +39 0721 887 1</cp:category>
</cp:coreProperties>
</file>