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ED3" w:rsidRDefault="006B46FB">
      <w:pPr>
        <w:spacing w:before="74" w:line="320" w:lineRule="exact"/>
        <w:ind w:left="1592" w:right="1814"/>
        <w:jc w:val="center"/>
        <w:rPr>
          <w:b/>
          <w:sz w:val="28"/>
        </w:rPr>
      </w:pPr>
      <w:bookmarkStart w:id="0" w:name="_GoBack"/>
      <w:bookmarkEnd w:id="0"/>
      <w:r>
        <w:rPr>
          <w:b/>
          <w:sz w:val="28"/>
        </w:rPr>
        <w:t>ORDINANZA – INGIUNZIONE DI PAGAMENTO</w:t>
      </w:r>
    </w:p>
    <w:p w:rsidR="002F3ED3" w:rsidRDefault="006B46FB">
      <w:pPr>
        <w:pStyle w:val="Corpotesto"/>
        <w:ind w:left="212" w:right="104"/>
      </w:pPr>
      <w:r>
        <w:t>L’ordinanza è un titolo esecutivo, il trasgressore ha l’obbligo di pagare la somma indicata entro 30 gg. dalla notifica.</w:t>
      </w:r>
    </w:p>
    <w:p w:rsidR="002F3ED3" w:rsidRDefault="002F3ED3">
      <w:pPr>
        <w:pStyle w:val="Corpotesto"/>
        <w:rPr>
          <w:sz w:val="20"/>
        </w:rPr>
      </w:pPr>
    </w:p>
    <w:p w:rsidR="002F3ED3" w:rsidRDefault="002F3ED3">
      <w:pPr>
        <w:pStyle w:val="Corpotesto"/>
        <w:spacing w:before="6"/>
        <w:rPr>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7020"/>
      </w:tblGrid>
      <w:tr w:rsidR="002F3ED3">
        <w:trPr>
          <w:trHeight w:val="1379"/>
        </w:trPr>
        <w:tc>
          <w:tcPr>
            <w:tcW w:w="2448" w:type="dxa"/>
          </w:tcPr>
          <w:p w:rsidR="002F3ED3" w:rsidRDefault="006B46FB">
            <w:pPr>
              <w:pStyle w:val="TableParagraph"/>
              <w:spacing w:line="273" w:lineRule="exact"/>
              <w:rPr>
                <w:b/>
                <w:sz w:val="24"/>
              </w:rPr>
            </w:pPr>
            <w:r>
              <w:rPr>
                <w:b/>
                <w:sz w:val="24"/>
              </w:rPr>
              <w:t>Ufficio di riferimento</w:t>
            </w:r>
          </w:p>
        </w:tc>
        <w:tc>
          <w:tcPr>
            <w:tcW w:w="7020" w:type="dxa"/>
          </w:tcPr>
          <w:p w:rsidR="00ED4258" w:rsidRDefault="006B46FB" w:rsidP="000719BA">
            <w:pPr>
              <w:pStyle w:val="TableParagraph"/>
              <w:ind w:right="1951"/>
              <w:jc w:val="both"/>
              <w:rPr>
                <w:sz w:val="24"/>
              </w:rPr>
            </w:pPr>
            <w:r>
              <w:rPr>
                <w:sz w:val="24"/>
              </w:rPr>
              <w:t xml:space="preserve">La Direzione Tecnica </w:t>
            </w:r>
            <w:r w:rsidR="00ED4258">
              <w:rPr>
                <w:sz w:val="24"/>
              </w:rPr>
              <w:t>del</w:t>
            </w:r>
            <w:r>
              <w:rPr>
                <w:sz w:val="24"/>
              </w:rPr>
              <w:t xml:space="preserve">la Prevenzione </w:t>
            </w:r>
            <w:r w:rsidR="002014B8">
              <w:rPr>
                <w:sz w:val="24"/>
              </w:rPr>
              <w:t xml:space="preserve">Primaria e </w:t>
            </w:r>
            <w:r w:rsidR="000719BA">
              <w:rPr>
                <w:sz w:val="24"/>
              </w:rPr>
              <w:t>C</w:t>
            </w:r>
            <w:r>
              <w:rPr>
                <w:sz w:val="24"/>
              </w:rPr>
              <w:t>ollettiva</w:t>
            </w:r>
          </w:p>
          <w:p w:rsidR="002F3ED3" w:rsidRDefault="006B46FB" w:rsidP="00ED4258">
            <w:pPr>
              <w:pStyle w:val="TableParagraph"/>
              <w:ind w:right="1951"/>
              <w:jc w:val="both"/>
              <w:rPr>
                <w:sz w:val="24"/>
              </w:rPr>
            </w:pPr>
            <w:r>
              <w:rPr>
                <w:sz w:val="24"/>
              </w:rPr>
              <w:t xml:space="preserve">Via </w:t>
            </w:r>
            <w:r w:rsidR="00ED4258">
              <w:rPr>
                <w:sz w:val="24"/>
              </w:rPr>
              <w:t>G. Oberdan, 2 - 60122</w:t>
            </w:r>
            <w:r>
              <w:rPr>
                <w:sz w:val="24"/>
              </w:rPr>
              <w:t xml:space="preserve"> Ancona</w:t>
            </w:r>
          </w:p>
          <w:p w:rsidR="002F3ED3" w:rsidRDefault="006B46FB">
            <w:pPr>
              <w:pStyle w:val="TableParagraph"/>
              <w:rPr>
                <w:sz w:val="24"/>
              </w:rPr>
            </w:pPr>
            <w:r>
              <w:rPr>
                <w:sz w:val="24"/>
              </w:rPr>
              <w:t>Tel. 071-29116664-662</w:t>
            </w:r>
            <w:r w:rsidR="00ED4258">
              <w:rPr>
                <w:sz w:val="24"/>
              </w:rPr>
              <w:t>-673</w:t>
            </w:r>
            <w:r w:rsidR="000F2C46">
              <w:rPr>
                <w:sz w:val="24"/>
              </w:rPr>
              <w:t>-603</w:t>
            </w:r>
          </w:p>
          <w:p w:rsidR="002F3ED3" w:rsidRDefault="006B46FB">
            <w:pPr>
              <w:pStyle w:val="TableParagraph"/>
              <w:spacing w:line="275" w:lineRule="exact"/>
              <w:rPr>
                <w:sz w:val="24"/>
              </w:rPr>
            </w:pPr>
            <w:r>
              <w:rPr>
                <w:sz w:val="24"/>
              </w:rPr>
              <w:t>Fax. 071-2911602</w:t>
            </w:r>
          </w:p>
          <w:p w:rsidR="002F3ED3" w:rsidRDefault="00DF37B3">
            <w:pPr>
              <w:pStyle w:val="TableParagraph"/>
              <w:spacing w:line="265" w:lineRule="exact"/>
              <w:rPr>
                <w:sz w:val="24"/>
              </w:rPr>
            </w:pPr>
            <w:r>
              <w:rPr>
                <w:sz w:val="24"/>
              </w:rPr>
              <w:t xml:space="preserve">Indirizzo </w:t>
            </w:r>
            <w:hyperlink r:id="rId6" w:history="1">
              <w:r w:rsidRPr="0052224C">
                <w:rPr>
                  <w:rStyle w:val="Collegamentoipertestuale"/>
                  <w:sz w:val="24"/>
                </w:rPr>
                <w:t>PEC: asur@emarche.it</w:t>
              </w:r>
            </w:hyperlink>
          </w:p>
        </w:tc>
      </w:tr>
      <w:tr w:rsidR="002F3ED3">
        <w:trPr>
          <w:trHeight w:val="3863"/>
        </w:trPr>
        <w:tc>
          <w:tcPr>
            <w:tcW w:w="2448" w:type="dxa"/>
          </w:tcPr>
          <w:p w:rsidR="002F3ED3" w:rsidRDefault="006B46FB">
            <w:pPr>
              <w:pStyle w:val="TableParagraph"/>
              <w:spacing w:line="273" w:lineRule="exact"/>
              <w:rPr>
                <w:b/>
                <w:sz w:val="24"/>
              </w:rPr>
            </w:pPr>
            <w:r>
              <w:rPr>
                <w:b/>
                <w:sz w:val="24"/>
              </w:rPr>
              <w:t>Scopo</w:t>
            </w:r>
          </w:p>
        </w:tc>
        <w:tc>
          <w:tcPr>
            <w:tcW w:w="7020" w:type="dxa"/>
          </w:tcPr>
          <w:p w:rsidR="002F3ED3" w:rsidRDefault="006B46FB">
            <w:pPr>
              <w:pStyle w:val="TableParagraph"/>
              <w:ind w:right="95"/>
              <w:jc w:val="both"/>
              <w:rPr>
                <w:sz w:val="24"/>
              </w:rPr>
            </w:pPr>
            <w:r>
              <w:rPr>
                <w:sz w:val="24"/>
              </w:rPr>
              <w:t>Irrogare le sanzioni amministrative demandate alla competenza dell’Asur dall’art. 22 LR. N. 19/07 in materia di sicurezza alimentare, alimentazione umana, alimentazione, benessere e salute degli animali a seguito dei verbali di accertamento delle contravvenzioni contestate dal personale dei Dipartimenti di Prevenzione delle Zone Territor</w:t>
            </w:r>
            <w:r w:rsidR="003B5101">
              <w:rPr>
                <w:sz w:val="24"/>
              </w:rPr>
              <w:t xml:space="preserve">iali delle Aree Vaste, dai </w:t>
            </w:r>
            <w:proofErr w:type="spellStart"/>
            <w:r w:rsidR="003B5101">
              <w:rPr>
                <w:sz w:val="24"/>
              </w:rPr>
              <w:t>Nas</w:t>
            </w:r>
            <w:proofErr w:type="spellEnd"/>
            <w:r w:rsidR="003B5101">
              <w:rPr>
                <w:sz w:val="24"/>
              </w:rPr>
              <w:t xml:space="preserve">, </w:t>
            </w:r>
            <w:r>
              <w:rPr>
                <w:sz w:val="24"/>
              </w:rPr>
              <w:t>dalla Guardia di Finanza, dalle Capitanerie di Porto, dalla Polizia di Stato nell’esercizio delle loro funzioni e  nelle materie previste dai regolamenti comunitari vigenti in materia di sicurezza alimentare; alimentazione umana; alimentazione, benessere e salute degli</w:t>
            </w:r>
            <w:r>
              <w:rPr>
                <w:spacing w:val="-3"/>
                <w:sz w:val="24"/>
              </w:rPr>
              <w:t xml:space="preserve"> </w:t>
            </w:r>
            <w:r>
              <w:rPr>
                <w:sz w:val="24"/>
              </w:rPr>
              <w:t>animali.</w:t>
            </w:r>
          </w:p>
          <w:p w:rsidR="002F3ED3" w:rsidRDefault="006B46FB">
            <w:pPr>
              <w:pStyle w:val="TableParagraph"/>
              <w:ind w:right="94"/>
              <w:jc w:val="both"/>
              <w:rPr>
                <w:sz w:val="24"/>
              </w:rPr>
            </w:pPr>
            <w:r>
              <w:rPr>
                <w:sz w:val="24"/>
              </w:rPr>
              <w:t>L’Organo accertatore provvede alla notifica del verbale entro il termine di 90 gg. dalla contestazione dell’illecito amministrativo.</w:t>
            </w:r>
          </w:p>
          <w:p w:rsidR="002F3ED3" w:rsidRDefault="006B46FB">
            <w:pPr>
              <w:pStyle w:val="TableParagraph"/>
              <w:spacing w:line="270" w:lineRule="atLeast"/>
              <w:ind w:right="98"/>
              <w:jc w:val="both"/>
              <w:rPr>
                <w:sz w:val="24"/>
              </w:rPr>
            </w:pPr>
            <w:r>
              <w:rPr>
                <w:sz w:val="24"/>
              </w:rPr>
              <w:t>E’ ammesso il pagamento della sanzione indicata nel verbale entro 60 gg. dalla notificazione ai sensi dell’art. 16 legge 689/81.</w:t>
            </w:r>
          </w:p>
        </w:tc>
      </w:tr>
      <w:tr w:rsidR="002F3ED3">
        <w:trPr>
          <w:trHeight w:val="7451"/>
        </w:trPr>
        <w:tc>
          <w:tcPr>
            <w:tcW w:w="2448" w:type="dxa"/>
          </w:tcPr>
          <w:p w:rsidR="002F3ED3" w:rsidRDefault="00727CC5">
            <w:pPr>
              <w:pStyle w:val="TableParagraph"/>
              <w:spacing w:line="272" w:lineRule="exact"/>
              <w:rPr>
                <w:b/>
                <w:sz w:val="24"/>
              </w:rPr>
            </w:pPr>
            <w:r>
              <w:rPr>
                <w:b/>
                <w:sz w:val="24"/>
              </w:rPr>
              <w:t>Descrizione</w:t>
            </w:r>
          </w:p>
        </w:tc>
        <w:tc>
          <w:tcPr>
            <w:tcW w:w="7020" w:type="dxa"/>
          </w:tcPr>
          <w:p w:rsidR="002F3ED3" w:rsidRDefault="006B46FB">
            <w:pPr>
              <w:pStyle w:val="TableParagraph"/>
              <w:numPr>
                <w:ilvl w:val="0"/>
                <w:numId w:val="1"/>
              </w:numPr>
              <w:tabs>
                <w:tab w:val="left" w:pos="828"/>
              </w:tabs>
              <w:ind w:right="95"/>
              <w:jc w:val="both"/>
              <w:rPr>
                <w:sz w:val="24"/>
              </w:rPr>
            </w:pPr>
            <w:r>
              <w:rPr>
                <w:sz w:val="24"/>
              </w:rPr>
              <w:t>Il verbale di accertamento, con gli estremi della notificazione al contravventore, deve essere trasmesso alla Direzione Generale</w:t>
            </w:r>
            <w:r>
              <w:rPr>
                <w:spacing w:val="-2"/>
                <w:sz w:val="24"/>
              </w:rPr>
              <w:t xml:space="preserve"> </w:t>
            </w:r>
            <w:r>
              <w:rPr>
                <w:sz w:val="24"/>
              </w:rPr>
              <w:t>Asur;</w:t>
            </w:r>
          </w:p>
          <w:p w:rsidR="002F3ED3" w:rsidRDefault="006B46FB">
            <w:pPr>
              <w:pStyle w:val="TableParagraph"/>
              <w:numPr>
                <w:ilvl w:val="0"/>
                <w:numId w:val="1"/>
              </w:numPr>
              <w:tabs>
                <w:tab w:val="left" w:pos="828"/>
              </w:tabs>
              <w:ind w:right="95"/>
              <w:jc w:val="both"/>
              <w:rPr>
                <w:sz w:val="24"/>
              </w:rPr>
            </w:pPr>
            <w:r>
              <w:rPr>
                <w:sz w:val="24"/>
              </w:rPr>
              <w:t>Come indicato nel verbale di accertamento, i contravventori possono presentare gli scritti difensivi, anche con richiesta di audizione, entro il termine di 30 gg. dalla notifica del verbale di contestazione indirizzati alla Direzione Generale Asur, via Caduti del Lavoro n. 40 – 60131</w:t>
            </w:r>
            <w:r>
              <w:rPr>
                <w:spacing w:val="1"/>
                <w:sz w:val="24"/>
              </w:rPr>
              <w:t xml:space="preserve"> </w:t>
            </w:r>
            <w:r>
              <w:rPr>
                <w:sz w:val="24"/>
              </w:rPr>
              <w:t>Ancona;</w:t>
            </w:r>
          </w:p>
          <w:p w:rsidR="002F3ED3" w:rsidRDefault="006B46FB">
            <w:pPr>
              <w:pStyle w:val="TableParagraph"/>
              <w:numPr>
                <w:ilvl w:val="0"/>
                <w:numId w:val="1"/>
              </w:numPr>
              <w:tabs>
                <w:tab w:val="left" w:pos="828"/>
              </w:tabs>
              <w:ind w:right="93"/>
              <w:jc w:val="both"/>
              <w:rPr>
                <w:sz w:val="24"/>
              </w:rPr>
            </w:pPr>
            <w:r>
              <w:rPr>
                <w:sz w:val="24"/>
              </w:rPr>
              <w:t>Per l’istruttoria di tali scritti è stata istituita una Commissione di esperti, che si riunisce con cadenza periodica, di</w:t>
            </w:r>
            <w:r>
              <w:rPr>
                <w:spacing w:val="39"/>
                <w:sz w:val="24"/>
              </w:rPr>
              <w:t xml:space="preserve"> </w:t>
            </w:r>
            <w:r>
              <w:rPr>
                <w:sz w:val="24"/>
              </w:rPr>
              <w:t>norma mensile, per l’esame degli scritti difensivi e per la convocazione dei</w:t>
            </w:r>
            <w:r>
              <w:rPr>
                <w:spacing w:val="-2"/>
                <w:sz w:val="24"/>
              </w:rPr>
              <w:t xml:space="preserve"> </w:t>
            </w:r>
            <w:r>
              <w:rPr>
                <w:sz w:val="24"/>
              </w:rPr>
              <w:t>contravventori.</w:t>
            </w:r>
          </w:p>
          <w:p w:rsidR="002F3ED3" w:rsidRDefault="006B46FB">
            <w:pPr>
              <w:pStyle w:val="TableParagraph"/>
              <w:numPr>
                <w:ilvl w:val="0"/>
                <w:numId w:val="1"/>
              </w:numPr>
              <w:tabs>
                <w:tab w:val="left" w:pos="828"/>
              </w:tabs>
              <w:ind w:right="96"/>
              <w:jc w:val="both"/>
              <w:rPr>
                <w:sz w:val="24"/>
              </w:rPr>
            </w:pPr>
            <w:r>
              <w:rPr>
                <w:sz w:val="24"/>
              </w:rPr>
              <w:t>Prima di sottoporre all’esame della Commissione gli scritti difensivi, l’ufficio provvede a richiedere agli organi accertatori le controdeduzioni, nel rispetto della procedura prevista dall’art. 17 della legge n.</w:t>
            </w:r>
            <w:r>
              <w:rPr>
                <w:spacing w:val="-1"/>
                <w:sz w:val="24"/>
              </w:rPr>
              <w:t xml:space="preserve"> </w:t>
            </w:r>
            <w:r>
              <w:rPr>
                <w:sz w:val="24"/>
              </w:rPr>
              <w:t>689/81.</w:t>
            </w:r>
          </w:p>
          <w:p w:rsidR="002F3ED3" w:rsidRDefault="006B46FB">
            <w:pPr>
              <w:pStyle w:val="TableParagraph"/>
              <w:numPr>
                <w:ilvl w:val="0"/>
                <w:numId w:val="1"/>
              </w:numPr>
              <w:tabs>
                <w:tab w:val="left" w:pos="828"/>
              </w:tabs>
              <w:ind w:right="96"/>
              <w:jc w:val="both"/>
              <w:rPr>
                <w:sz w:val="24"/>
              </w:rPr>
            </w:pPr>
            <w:r>
              <w:rPr>
                <w:sz w:val="24"/>
              </w:rPr>
              <w:t>Nel caso in cui gli scritti difensivi presentati non siano ritenuti fondati, il Dirigente delegato dal Direttore Generale, emette un’ordinanza ingiunzione ai sensi dell’art. 18 legge 689/81, con la quale viene determinato ed ingiunto il pagamento della somma</w:t>
            </w:r>
            <w:r>
              <w:rPr>
                <w:spacing w:val="-2"/>
                <w:sz w:val="24"/>
              </w:rPr>
              <w:t xml:space="preserve"> </w:t>
            </w:r>
            <w:r>
              <w:rPr>
                <w:sz w:val="24"/>
              </w:rPr>
              <w:t>dovuta.</w:t>
            </w:r>
          </w:p>
          <w:p w:rsidR="002F3ED3" w:rsidRDefault="006B46FB">
            <w:pPr>
              <w:pStyle w:val="TableParagraph"/>
              <w:numPr>
                <w:ilvl w:val="0"/>
                <w:numId w:val="1"/>
              </w:numPr>
              <w:tabs>
                <w:tab w:val="left" w:pos="828"/>
              </w:tabs>
              <w:ind w:right="97"/>
              <w:jc w:val="both"/>
              <w:rPr>
                <w:sz w:val="24"/>
              </w:rPr>
            </w:pPr>
            <w:r>
              <w:rPr>
                <w:sz w:val="24"/>
              </w:rPr>
              <w:t xml:space="preserve">Il pagamento deve essere effettuato nel termine di 30 gg. dalla notifica con versamento sul c/c intestato ad Asur Marche: IT </w:t>
            </w:r>
            <w:r w:rsidR="00DF37B3">
              <w:rPr>
                <w:sz w:val="24"/>
              </w:rPr>
              <w:t>39W0200802626000105711012</w:t>
            </w:r>
            <w:r>
              <w:rPr>
                <w:sz w:val="24"/>
              </w:rPr>
              <w:t>.</w:t>
            </w:r>
          </w:p>
          <w:p w:rsidR="002F3ED3" w:rsidRDefault="006B46FB" w:rsidP="002014B8">
            <w:pPr>
              <w:pStyle w:val="TableParagraph"/>
              <w:numPr>
                <w:ilvl w:val="0"/>
                <w:numId w:val="1"/>
              </w:numPr>
              <w:tabs>
                <w:tab w:val="left" w:pos="828"/>
              </w:tabs>
              <w:spacing w:line="270" w:lineRule="atLeast"/>
              <w:ind w:right="95"/>
              <w:jc w:val="both"/>
              <w:rPr>
                <w:sz w:val="24"/>
              </w:rPr>
            </w:pPr>
            <w:r>
              <w:rPr>
                <w:sz w:val="24"/>
              </w:rPr>
              <w:t>Se nell’ordinanza è indicato il no</w:t>
            </w:r>
            <w:r w:rsidR="00DF37B3">
              <w:rPr>
                <w:sz w:val="24"/>
              </w:rPr>
              <w:t xml:space="preserve">minativo di un responsabile </w:t>
            </w:r>
            <w:r>
              <w:rPr>
                <w:sz w:val="24"/>
              </w:rPr>
              <w:t>in solido, il pagamento deve essere effettuato una sola volta o dal trasgressore o dall’obbligato in solido e</w:t>
            </w:r>
            <w:r>
              <w:rPr>
                <w:spacing w:val="40"/>
                <w:sz w:val="24"/>
              </w:rPr>
              <w:t xml:space="preserve"> </w:t>
            </w:r>
            <w:r>
              <w:rPr>
                <w:sz w:val="24"/>
              </w:rPr>
              <w:t>libera entrambi,</w:t>
            </w:r>
          </w:p>
        </w:tc>
      </w:tr>
    </w:tbl>
    <w:p w:rsidR="002F3ED3" w:rsidRDefault="002F3ED3">
      <w:pPr>
        <w:spacing w:line="270" w:lineRule="atLeast"/>
        <w:jc w:val="both"/>
        <w:rPr>
          <w:sz w:val="24"/>
        </w:rPr>
        <w:sectPr w:rsidR="002F3ED3">
          <w:type w:val="continuous"/>
          <w:pgSz w:w="11900" w:h="16840"/>
          <w:pgMar w:top="1340" w:right="1280" w:bottom="28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7020"/>
      </w:tblGrid>
      <w:tr w:rsidR="002F3ED3">
        <w:trPr>
          <w:trHeight w:val="2210"/>
        </w:trPr>
        <w:tc>
          <w:tcPr>
            <w:tcW w:w="2448" w:type="dxa"/>
          </w:tcPr>
          <w:p w:rsidR="002F3ED3" w:rsidRDefault="002F3ED3">
            <w:pPr>
              <w:pStyle w:val="TableParagraph"/>
              <w:ind w:left="0"/>
            </w:pPr>
          </w:p>
        </w:tc>
        <w:tc>
          <w:tcPr>
            <w:tcW w:w="7020" w:type="dxa"/>
          </w:tcPr>
          <w:p w:rsidR="002F3ED3" w:rsidRDefault="006B46FB">
            <w:pPr>
              <w:pStyle w:val="TableParagraph"/>
              <w:spacing w:line="264" w:lineRule="exact"/>
              <w:ind w:left="827"/>
              <w:jc w:val="both"/>
              <w:rPr>
                <w:sz w:val="24"/>
              </w:rPr>
            </w:pPr>
            <w:r>
              <w:rPr>
                <w:sz w:val="24"/>
              </w:rPr>
              <w:t>salvo eventuali azioni di regresso.</w:t>
            </w:r>
          </w:p>
          <w:p w:rsidR="002F3ED3" w:rsidRDefault="006B46FB">
            <w:pPr>
              <w:pStyle w:val="TableParagraph"/>
              <w:spacing w:line="270" w:lineRule="atLeast"/>
              <w:ind w:left="827" w:right="95" w:hanging="360"/>
              <w:jc w:val="both"/>
              <w:rPr>
                <w:sz w:val="24"/>
              </w:rPr>
            </w:pPr>
            <w:r>
              <w:rPr>
                <w:sz w:val="24"/>
              </w:rPr>
              <w:t>8) Infine, se nel termine di 60 gg dalla notifica del verbale, il trasgressore non ha effettuato il pagamento e non ha presentato gli scritti difensivi nei modi e termini sopraindicati, il Dirigente Delegato, acquisito il rapporto ex art 17 legge n. 689/81 da parte dell’Organo</w:t>
            </w:r>
            <w:r w:rsidR="00DF37B3">
              <w:rPr>
                <w:sz w:val="24"/>
              </w:rPr>
              <w:t xml:space="preserve"> accertatore, emette Ordinanza I</w:t>
            </w:r>
            <w:r>
              <w:rPr>
                <w:sz w:val="24"/>
              </w:rPr>
              <w:t>ngiunzione di pagamento nei modi e termini di cui ai precedenti punti 6 e</w:t>
            </w:r>
            <w:r>
              <w:rPr>
                <w:spacing w:val="-2"/>
                <w:sz w:val="24"/>
              </w:rPr>
              <w:t xml:space="preserve"> </w:t>
            </w:r>
            <w:r>
              <w:rPr>
                <w:sz w:val="24"/>
              </w:rPr>
              <w:t>7.</w:t>
            </w:r>
          </w:p>
        </w:tc>
      </w:tr>
      <w:tr w:rsidR="002F3ED3">
        <w:trPr>
          <w:trHeight w:val="275"/>
        </w:trPr>
        <w:tc>
          <w:tcPr>
            <w:tcW w:w="2448" w:type="dxa"/>
          </w:tcPr>
          <w:p w:rsidR="002F3ED3" w:rsidRDefault="006B46FB">
            <w:pPr>
              <w:pStyle w:val="TableParagraph"/>
              <w:spacing w:line="256" w:lineRule="exact"/>
              <w:rPr>
                <w:b/>
                <w:sz w:val="24"/>
              </w:rPr>
            </w:pPr>
            <w:r>
              <w:rPr>
                <w:b/>
                <w:sz w:val="24"/>
              </w:rPr>
              <w:t>Attivazione</w:t>
            </w:r>
          </w:p>
        </w:tc>
        <w:tc>
          <w:tcPr>
            <w:tcW w:w="7020" w:type="dxa"/>
          </w:tcPr>
          <w:p w:rsidR="002F3ED3" w:rsidRDefault="006B46FB">
            <w:pPr>
              <w:pStyle w:val="TableParagraph"/>
              <w:spacing w:line="256" w:lineRule="exact"/>
              <w:ind w:left="167"/>
              <w:rPr>
                <w:sz w:val="24"/>
              </w:rPr>
            </w:pPr>
            <w:r>
              <w:rPr>
                <w:sz w:val="24"/>
              </w:rPr>
              <w:t>D’ufficio, dal ricevimento del verbale di contestazione.</w:t>
            </w:r>
          </w:p>
        </w:tc>
      </w:tr>
      <w:tr w:rsidR="002F3ED3">
        <w:trPr>
          <w:trHeight w:val="1103"/>
        </w:trPr>
        <w:tc>
          <w:tcPr>
            <w:tcW w:w="2448" w:type="dxa"/>
          </w:tcPr>
          <w:p w:rsidR="002F3ED3" w:rsidRDefault="006B46FB">
            <w:pPr>
              <w:pStyle w:val="TableParagraph"/>
              <w:ind w:right="164"/>
              <w:rPr>
                <w:b/>
                <w:sz w:val="24"/>
              </w:rPr>
            </w:pPr>
            <w:r>
              <w:rPr>
                <w:b/>
                <w:sz w:val="24"/>
              </w:rPr>
              <w:t>Termine del procedimento o della procedura a</w:t>
            </w:r>
          </w:p>
          <w:p w:rsidR="002F3ED3" w:rsidRDefault="006B46FB">
            <w:pPr>
              <w:pStyle w:val="TableParagraph"/>
              <w:spacing w:line="263" w:lineRule="exact"/>
              <w:rPr>
                <w:b/>
                <w:sz w:val="24"/>
              </w:rPr>
            </w:pPr>
            <w:r>
              <w:rPr>
                <w:b/>
                <w:sz w:val="24"/>
              </w:rPr>
              <w:t>rilevanza esterna</w:t>
            </w:r>
          </w:p>
        </w:tc>
        <w:tc>
          <w:tcPr>
            <w:tcW w:w="7020" w:type="dxa"/>
          </w:tcPr>
          <w:p w:rsidR="002F3ED3" w:rsidRDefault="006B46FB" w:rsidP="00DF37B3">
            <w:pPr>
              <w:pStyle w:val="TableParagraph"/>
              <w:jc w:val="both"/>
              <w:rPr>
                <w:sz w:val="24"/>
              </w:rPr>
            </w:pPr>
            <w:r>
              <w:rPr>
                <w:sz w:val="24"/>
              </w:rPr>
              <w:t>Il termine per la notifica dell’ordinanza ingiunzione è di 5 anni dal giorno in cui è stata commessa la violazione (art. 28 L. 689/81) e</w:t>
            </w:r>
            <w:r w:rsidR="00DF37B3">
              <w:rPr>
                <w:sz w:val="24"/>
              </w:rPr>
              <w:t xml:space="preserve"> </w:t>
            </w:r>
            <w:r>
              <w:rPr>
                <w:sz w:val="24"/>
              </w:rPr>
              <w:t xml:space="preserve">l’ordinanza </w:t>
            </w:r>
            <w:r>
              <w:rPr>
                <w:spacing w:val="22"/>
                <w:sz w:val="24"/>
              </w:rPr>
              <w:t xml:space="preserve"> </w:t>
            </w:r>
            <w:r>
              <w:rPr>
                <w:sz w:val="24"/>
              </w:rPr>
              <w:t>ingiunzione</w:t>
            </w:r>
            <w:r w:rsidR="00DF37B3">
              <w:rPr>
                <w:sz w:val="24"/>
              </w:rPr>
              <w:t xml:space="preserve"> </w:t>
            </w:r>
            <w:r>
              <w:rPr>
                <w:sz w:val="24"/>
              </w:rPr>
              <w:t>dovrà</w:t>
            </w:r>
            <w:r w:rsidR="00ED4258">
              <w:rPr>
                <w:sz w:val="24"/>
              </w:rPr>
              <w:t xml:space="preserve"> </w:t>
            </w:r>
            <w:r>
              <w:rPr>
                <w:sz w:val="24"/>
              </w:rPr>
              <w:t>essere pagata entro 30 gg. dalla notifica seguendo le modalità di pagamento in essa</w:t>
            </w:r>
            <w:r>
              <w:rPr>
                <w:spacing w:val="-8"/>
                <w:sz w:val="24"/>
              </w:rPr>
              <w:t xml:space="preserve"> </w:t>
            </w:r>
            <w:r>
              <w:rPr>
                <w:sz w:val="24"/>
              </w:rPr>
              <w:t>indicate.</w:t>
            </w:r>
          </w:p>
        </w:tc>
      </w:tr>
      <w:tr w:rsidR="002F3ED3">
        <w:trPr>
          <w:trHeight w:val="1103"/>
        </w:trPr>
        <w:tc>
          <w:tcPr>
            <w:tcW w:w="2448" w:type="dxa"/>
          </w:tcPr>
          <w:p w:rsidR="002F3ED3" w:rsidRDefault="006B46FB">
            <w:pPr>
              <w:pStyle w:val="TableParagraph"/>
              <w:ind w:right="811"/>
              <w:rPr>
                <w:b/>
                <w:sz w:val="24"/>
              </w:rPr>
            </w:pPr>
            <w:r>
              <w:rPr>
                <w:b/>
                <w:sz w:val="24"/>
              </w:rPr>
              <w:t>Costi a carico dell’utente (trasgressore e</w:t>
            </w:r>
          </w:p>
          <w:p w:rsidR="002F3ED3" w:rsidRDefault="006B46FB">
            <w:pPr>
              <w:pStyle w:val="TableParagraph"/>
              <w:spacing w:line="263" w:lineRule="exact"/>
              <w:rPr>
                <w:b/>
                <w:sz w:val="24"/>
              </w:rPr>
            </w:pPr>
            <w:r>
              <w:rPr>
                <w:b/>
                <w:sz w:val="24"/>
              </w:rPr>
              <w:t>obbligato in solido)</w:t>
            </w:r>
          </w:p>
        </w:tc>
        <w:tc>
          <w:tcPr>
            <w:tcW w:w="7020" w:type="dxa"/>
          </w:tcPr>
          <w:p w:rsidR="002F3ED3" w:rsidRDefault="006B46FB">
            <w:pPr>
              <w:pStyle w:val="TableParagraph"/>
              <w:rPr>
                <w:sz w:val="24"/>
              </w:rPr>
            </w:pPr>
            <w:r>
              <w:rPr>
                <w:sz w:val="24"/>
              </w:rPr>
              <w:t>Somma prevista come sanzione pecuniaria nell’ordinanza ingiunzione più spese di notifica.</w:t>
            </w:r>
          </w:p>
        </w:tc>
      </w:tr>
      <w:tr w:rsidR="002F3ED3">
        <w:trPr>
          <w:trHeight w:val="551"/>
        </w:trPr>
        <w:tc>
          <w:tcPr>
            <w:tcW w:w="2448" w:type="dxa"/>
          </w:tcPr>
          <w:p w:rsidR="002F3ED3" w:rsidRDefault="006B46FB">
            <w:pPr>
              <w:pStyle w:val="TableParagraph"/>
              <w:spacing w:line="269" w:lineRule="exact"/>
              <w:rPr>
                <w:b/>
                <w:sz w:val="24"/>
              </w:rPr>
            </w:pPr>
            <w:r>
              <w:rPr>
                <w:b/>
                <w:sz w:val="24"/>
              </w:rPr>
              <w:t>Normativa di</w:t>
            </w:r>
          </w:p>
          <w:p w:rsidR="002F3ED3" w:rsidRDefault="006B46FB">
            <w:pPr>
              <w:pStyle w:val="TableParagraph"/>
              <w:spacing w:line="263" w:lineRule="exact"/>
              <w:rPr>
                <w:b/>
                <w:sz w:val="24"/>
              </w:rPr>
            </w:pPr>
            <w:r>
              <w:rPr>
                <w:b/>
                <w:sz w:val="24"/>
              </w:rPr>
              <w:t>riferimento</w:t>
            </w:r>
          </w:p>
        </w:tc>
        <w:tc>
          <w:tcPr>
            <w:tcW w:w="7020" w:type="dxa"/>
          </w:tcPr>
          <w:p w:rsidR="002F3ED3" w:rsidRDefault="006B46FB">
            <w:pPr>
              <w:pStyle w:val="TableParagraph"/>
              <w:spacing w:line="264" w:lineRule="exact"/>
              <w:rPr>
                <w:sz w:val="24"/>
              </w:rPr>
            </w:pPr>
            <w:r>
              <w:rPr>
                <w:sz w:val="24"/>
              </w:rPr>
              <w:t>L. n. 689 del 24/11/1981, L.R. n. 33/98 e LR n. 19/07 art 22.</w:t>
            </w:r>
          </w:p>
        </w:tc>
      </w:tr>
      <w:tr w:rsidR="002F3ED3">
        <w:trPr>
          <w:trHeight w:val="3035"/>
        </w:trPr>
        <w:tc>
          <w:tcPr>
            <w:tcW w:w="2448" w:type="dxa"/>
          </w:tcPr>
          <w:p w:rsidR="002F3ED3" w:rsidRDefault="006B46FB">
            <w:pPr>
              <w:pStyle w:val="TableParagraph"/>
              <w:spacing w:line="269" w:lineRule="exact"/>
              <w:rPr>
                <w:b/>
                <w:sz w:val="24"/>
              </w:rPr>
            </w:pPr>
            <w:r>
              <w:rPr>
                <w:b/>
                <w:sz w:val="24"/>
              </w:rPr>
              <w:t>Informazioni utili</w:t>
            </w:r>
          </w:p>
        </w:tc>
        <w:tc>
          <w:tcPr>
            <w:tcW w:w="7020" w:type="dxa"/>
          </w:tcPr>
          <w:p w:rsidR="002F3ED3" w:rsidRDefault="006B46FB">
            <w:pPr>
              <w:pStyle w:val="TableParagraph"/>
              <w:ind w:right="96"/>
              <w:jc w:val="both"/>
              <w:rPr>
                <w:sz w:val="24"/>
              </w:rPr>
            </w:pPr>
            <w:r>
              <w:rPr>
                <w:sz w:val="24"/>
              </w:rPr>
              <w:t xml:space="preserve">Avverso ordinanza ingiunzione può essere presentato ricorso al Giudice di Pace o al Tribunale nei modi e termini previsti dal </w:t>
            </w:r>
            <w:proofErr w:type="spellStart"/>
            <w:r>
              <w:rPr>
                <w:sz w:val="24"/>
              </w:rPr>
              <w:t>D.Lgs.</w:t>
            </w:r>
            <w:proofErr w:type="spellEnd"/>
            <w:r>
              <w:rPr>
                <w:sz w:val="24"/>
              </w:rPr>
              <w:t xml:space="preserve"> 150/11 – art. 6.</w:t>
            </w:r>
          </w:p>
          <w:p w:rsidR="002F3ED3" w:rsidRDefault="006B46FB">
            <w:pPr>
              <w:pStyle w:val="TableParagraph"/>
              <w:ind w:right="96"/>
              <w:jc w:val="both"/>
              <w:rPr>
                <w:sz w:val="24"/>
              </w:rPr>
            </w:pPr>
            <w:r>
              <w:rPr>
                <w:sz w:val="24"/>
              </w:rPr>
              <w:t>Nel caso in cui l’ordinanza ingiunzione non venga pagata nei termini, la somma dovuta viene iscritta a ruolo e recuperata tramite il Concessionario della Riscossione, mediante l’emissione di cartella di pagamento.</w:t>
            </w:r>
          </w:p>
          <w:p w:rsidR="002F3ED3" w:rsidRDefault="006B46FB">
            <w:pPr>
              <w:pStyle w:val="TableParagraph"/>
              <w:spacing w:line="270" w:lineRule="atLeast"/>
              <w:ind w:right="97"/>
              <w:jc w:val="both"/>
              <w:rPr>
                <w:sz w:val="24"/>
              </w:rPr>
            </w:pPr>
            <w:r>
              <w:rPr>
                <w:sz w:val="24"/>
              </w:rPr>
              <w:t>Per evitare che l’ordinanza ingiunzione sia iscritta a ruolo, occorre presentare le ricevute dei pagamenti o presso l’ufficio che ha provveduto alla contestazione della violazione oppure inviarle via fax all’Ufficio dell’ASUR al n. 071 2911602.</w:t>
            </w:r>
          </w:p>
        </w:tc>
      </w:tr>
      <w:tr w:rsidR="002F3ED3">
        <w:trPr>
          <w:trHeight w:val="1103"/>
        </w:trPr>
        <w:tc>
          <w:tcPr>
            <w:tcW w:w="2448" w:type="dxa"/>
          </w:tcPr>
          <w:p w:rsidR="002F3ED3" w:rsidRDefault="006B46FB">
            <w:pPr>
              <w:pStyle w:val="TableParagraph"/>
              <w:ind w:right="624"/>
              <w:rPr>
                <w:b/>
                <w:sz w:val="24"/>
              </w:rPr>
            </w:pPr>
            <w:r>
              <w:rPr>
                <w:b/>
                <w:sz w:val="24"/>
              </w:rPr>
              <w:t>Procedimenti ad istanza di parte</w:t>
            </w:r>
          </w:p>
        </w:tc>
        <w:tc>
          <w:tcPr>
            <w:tcW w:w="7020" w:type="dxa"/>
          </w:tcPr>
          <w:p w:rsidR="002F3ED3" w:rsidRDefault="006B46FB">
            <w:pPr>
              <w:pStyle w:val="TableParagraph"/>
              <w:ind w:right="95"/>
              <w:jc w:val="both"/>
              <w:rPr>
                <w:sz w:val="24"/>
              </w:rPr>
            </w:pPr>
            <w:r>
              <w:rPr>
                <w:sz w:val="24"/>
              </w:rPr>
              <w:t>Il contravventore, oltre agli scritti difensivi, può presentare richiesta di rateazione relativa al pagamento sia del verbale sanzionatorio che dell’ordinanza</w:t>
            </w:r>
            <w:r>
              <w:rPr>
                <w:spacing w:val="11"/>
                <w:sz w:val="24"/>
              </w:rPr>
              <w:t xml:space="preserve"> </w:t>
            </w:r>
            <w:r>
              <w:rPr>
                <w:sz w:val="24"/>
              </w:rPr>
              <w:t>ingiunzione</w:t>
            </w:r>
            <w:r>
              <w:rPr>
                <w:spacing w:val="12"/>
                <w:sz w:val="24"/>
              </w:rPr>
              <w:t xml:space="preserve"> </w:t>
            </w:r>
            <w:r>
              <w:rPr>
                <w:sz w:val="24"/>
              </w:rPr>
              <w:t>se</w:t>
            </w:r>
            <w:r>
              <w:rPr>
                <w:spacing w:val="12"/>
                <w:sz w:val="24"/>
              </w:rPr>
              <w:t xml:space="preserve"> </w:t>
            </w:r>
            <w:r>
              <w:rPr>
                <w:sz w:val="24"/>
              </w:rPr>
              <w:t>ricorrono</w:t>
            </w:r>
            <w:r>
              <w:rPr>
                <w:spacing w:val="12"/>
                <w:sz w:val="24"/>
              </w:rPr>
              <w:t xml:space="preserve"> </w:t>
            </w:r>
            <w:r>
              <w:rPr>
                <w:sz w:val="24"/>
              </w:rPr>
              <w:t>i</w:t>
            </w:r>
            <w:r>
              <w:rPr>
                <w:spacing w:val="13"/>
                <w:sz w:val="24"/>
              </w:rPr>
              <w:t xml:space="preserve"> </w:t>
            </w:r>
            <w:r>
              <w:rPr>
                <w:sz w:val="24"/>
              </w:rPr>
              <w:t>presupposti</w:t>
            </w:r>
            <w:r>
              <w:rPr>
                <w:spacing w:val="12"/>
                <w:sz w:val="24"/>
              </w:rPr>
              <w:t xml:space="preserve"> </w:t>
            </w:r>
            <w:r>
              <w:rPr>
                <w:sz w:val="24"/>
              </w:rPr>
              <w:t>di</w:t>
            </w:r>
            <w:r>
              <w:rPr>
                <w:spacing w:val="13"/>
                <w:sz w:val="24"/>
              </w:rPr>
              <w:t xml:space="preserve"> </w:t>
            </w:r>
            <w:r>
              <w:rPr>
                <w:sz w:val="24"/>
              </w:rPr>
              <w:t>cui</w:t>
            </w:r>
            <w:r>
              <w:rPr>
                <w:spacing w:val="13"/>
                <w:sz w:val="24"/>
              </w:rPr>
              <w:t xml:space="preserve"> </w:t>
            </w:r>
            <w:r>
              <w:rPr>
                <w:sz w:val="24"/>
              </w:rPr>
              <w:t>alla</w:t>
            </w:r>
            <w:r>
              <w:rPr>
                <w:spacing w:val="11"/>
                <w:sz w:val="24"/>
              </w:rPr>
              <w:t xml:space="preserve"> </w:t>
            </w:r>
            <w:r>
              <w:rPr>
                <w:sz w:val="24"/>
              </w:rPr>
              <w:t>legge</w:t>
            </w:r>
          </w:p>
          <w:p w:rsidR="002F3ED3" w:rsidRDefault="006B46FB">
            <w:pPr>
              <w:pStyle w:val="TableParagraph"/>
              <w:spacing w:line="268" w:lineRule="exact"/>
              <w:jc w:val="both"/>
              <w:rPr>
                <w:sz w:val="24"/>
              </w:rPr>
            </w:pPr>
            <w:r>
              <w:rPr>
                <w:sz w:val="24"/>
              </w:rPr>
              <w:t>689/81 – art. 26.</w:t>
            </w:r>
          </w:p>
        </w:tc>
      </w:tr>
      <w:tr w:rsidR="002F3ED3">
        <w:trPr>
          <w:trHeight w:val="551"/>
        </w:trPr>
        <w:tc>
          <w:tcPr>
            <w:tcW w:w="2448" w:type="dxa"/>
          </w:tcPr>
          <w:p w:rsidR="002F3ED3" w:rsidRDefault="006B46FB">
            <w:pPr>
              <w:pStyle w:val="TableParagraph"/>
              <w:spacing w:line="269" w:lineRule="exact"/>
              <w:rPr>
                <w:b/>
                <w:sz w:val="24"/>
              </w:rPr>
            </w:pPr>
            <w:r>
              <w:rPr>
                <w:b/>
                <w:sz w:val="24"/>
              </w:rPr>
              <w:t>Responsabile del</w:t>
            </w:r>
          </w:p>
          <w:p w:rsidR="002F3ED3" w:rsidRDefault="006B46FB">
            <w:pPr>
              <w:pStyle w:val="TableParagraph"/>
              <w:spacing w:line="263" w:lineRule="exact"/>
              <w:rPr>
                <w:b/>
                <w:sz w:val="24"/>
              </w:rPr>
            </w:pPr>
            <w:r>
              <w:rPr>
                <w:b/>
                <w:sz w:val="24"/>
              </w:rPr>
              <w:t>provvedimento finale</w:t>
            </w:r>
          </w:p>
        </w:tc>
        <w:tc>
          <w:tcPr>
            <w:tcW w:w="7020" w:type="dxa"/>
          </w:tcPr>
          <w:p w:rsidR="00727CC5" w:rsidRDefault="000F2C46" w:rsidP="00DF37B3">
            <w:pPr>
              <w:pStyle w:val="TableParagraph"/>
              <w:spacing w:line="264" w:lineRule="exact"/>
              <w:rPr>
                <w:sz w:val="24"/>
              </w:rPr>
            </w:pPr>
            <w:r>
              <w:rPr>
                <w:sz w:val="24"/>
              </w:rPr>
              <w:t>Il D</w:t>
            </w:r>
            <w:r w:rsidR="006B46FB">
              <w:rPr>
                <w:sz w:val="24"/>
              </w:rPr>
              <w:t>irigente delegato dal Direttore Generale</w:t>
            </w:r>
            <w:r w:rsidR="00DF37B3">
              <w:rPr>
                <w:sz w:val="24"/>
              </w:rPr>
              <w:t xml:space="preserve"> </w:t>
            </w:r>
          </w:p>
          <w:p w:rsidR="002F3ED3" w:rsidRDefault="006B46FB" w:rsidP="00DF37B3">
            <w:pPr>
              <w:pStyle w:val="TableParagraph"/>
              <w:spacing w:line="264" w:lineRule="exact"/>
              <w:rPr>
                <w:sz w:val="24"/>
              </w:rPr>
            </w:pPr>
            <w:r>
              <w:rPr>
                <w:sz w:val="24"/>
              </w:rPr>
              <w:t>Avvocato Marisa Barattini</w:t>
            </w:r>
          </w:p>
        </w:tc>
      </w:tr>
      <w:tr w:rsidR="002F3ED3">
        <w:trPr>
          <w:trHeight w:val="830"/>
        </w:trPr>
        <w:tc>
          <w:tcPr>
            <w:tcW w:w="2448" w:type="dxa"/>
          </w:tcPr>
          <w:p w:rsidR="002F3ED3" w:rsidRDefault="006B46FB">
            <w:pPr>
              <w:pStyle w:val="TableParagraph"/>
              <w:ind w:right="237"/>
              <w:rPr>
                <w:b/>
                <w:sz w:val="24"/>
              </w:rPr>
            </w:pPr>
            <w:r>
              <w:rPr>
                <w:b/>
                <w:sz w:val="24"/>
              </w:rPr>
              <w:t>Titolare del potere sostitutivo in caso di</w:t>
            </w:r>
          </w:p>
          <w:p w:rsidR="002F3ED3" w:rsidRDefault="006B46FB">
            <w:pPr>
              <w:pStyle w:val="TableParagraph"/>
              <w:spacing w:line="265" w:lineRule="exact"/>
              <w:rPr>
                <w:b/>
                <w:sz w:val="24"/>
              </w:rPr>
            </w:pPr>
            <w:r>
              <w:rPr>
                <w:b/>
                <w:sz w:val="24"/>
              </w:rPr>
              <w:t>inerzia</w:t>
            </w:r>
          </w:p>
        </w:tc>
        <w:tc>
          <w:tcPr>
            <w:tcW w:w="7020" w:type="dxa"/>
          </w:tcPr>
          <w:p w:rsidR="002F3ED3" w:rsidRDefault="00ED4258">
            <w:pPr>
              <w:pStyle w:val="TableParagraph"/>
              <w:spacing w:line="264" w:lineRule="exact"/>
              <w:rPr>
                <w:sz w:val="24"/>
              </w:rPr>
            </w:pPr>
            <w:r>
              <w:rPr>
                <w:sz w:val="24"/>
              </w:rPr>
              <w:t>Il Direttore Generale dell’</w:t>
            </w:r>
            <w:r w:rsidR="006B46FB">
              <w:rPr>
                <w:sz w:val="24"/>
              </w:rPr>
              <w:t>Asur Marche</w:t>
            </w:r>
          </w:p>
        </w:tc>
      </w:tr>
    </w:tbl>
    <w:p w:rsidR="006B46FB" w:rsidRDefault="006B46FB"/>
    <w:sectPr w:rsidR="006B46FB">
      <w:pgSz w:w="11900" w:h="16840"/>
      <w:pgMar w:top="1420" w:right="12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72421"/>
    <w:multiLevelType w:val="hybridMultilevel"/>
    <w:tmpl w:val="5D90C404"/>
    <w:lvl w:ilvl="0" w:tplc="60FE4A5C">
      <w:start w:val="1"/>
      <w:numFmt w:val="decimal"/>
      <w:lvlText w:val="%1)"/>
      <w:lvlJc w:val="left"/>
      <w:pPr>
        <w:ind w:left="827" w:hanging="360"/>
        <w:jc w:val="left"/>
      </w:pPr>
      <w:rPr>
        <w:rFonts w:ascii="Times New Roman" w:eastAsia="Times New Roman" w:hAnsi="Times New Roman" w:cs="Times New Roman" w:hint="default"/>
        <w:w w:val="99"/>
        <w:sz w:val="24"/>
        <w:szCs w:val="24"/>
        <w:lang w:val="it-IT" w:eastAsia="it-IT" w:bidi="it-IT"/>
      </w:rPr>
    </w:lvl>
    <w:lvl w:ilvl="1" w:tplc="002A8A1C">
      <w:numFmt w:val="bullet"/>
      <w:lvlText w:val="•"/>
      <w:lvlJc w:val="left"/>
      <w:pPr>
        <w:ind w:left="1439" w:hanging="360"/>
      </w:pPr>
      <w:rPr>
        <w:rFonts w:hint="default"/>
        <w:lang w:val="it-IT" w:eastAsia="it-IT" w:bidi="it-IT"/>
      </w:rPr>
    </w:lvl>
    <w:lvl w:ilvl="2" w:tplc="EEF2450C">
      <w:numFmt w:val="bullet"/>
      <w:lvlText w:val="•"/>
      <w:lvlJc w:val="left"/>
      <w:pPr>
        <w:ind w:left="2058" w:hanging="360"/>
      </w:pPr>
      <w:rPr>
        <w:rFonts w:hint="default"/>
        <w:lang w:val="it-IT" w:eastAsia="it-IT" w:bidi="it-IT"/>
      </w:rPr>
    </w:lvl>
    <w:lvl w:ilvl="3" w:tplc="3FC6FF2C">
      <w:numFmt w:val="bullet"/>
      <w:lvlText w:val="•"/>
      <w:lvlJc w:val="left"/>
      <w:pPr>
        <w:ind w:left="2677" w:hanging="360"/>
      </w:pPr>
      <w:rPr>
        <w:rFonts w:hint="default"/>
        <w:lang w:val="it-IT" w:eastAsia="it-IT" w:bidi="it-IT"/>
      </w:rPr>
    </w:lvl>
    <w:lvl w:ilvl="4" w:tplc="E10A0198">
      <w:numFmt w:val="bullet"/>
      <w:lvlText w:val="•"/>
      <w:lvlJc w:val="left"/>
      <w:pPr>
        <w:ind w:left="3296" w:hanging="360"/>
      </w:pPr>
      <w:rPr>
        <w:rFonts w:hint="default"/>
        <w:lang w:val="it-IT" w:eastAsia="it-IT" w:bidi="it-IT"/>
      </w:rPr>
    </w:lvl>
    <w:lvl w:ilvl="5" w:tplc="8B26C410">
      <w:numFmt w:val="bullet"/>
      <w:lvlText w:val="•"/>
      <w:lvlJc w:val="left"/>
      <w:pPr>
        <w:ind w:left="3915" w:hanging="360"/>
      </w:pPr>
      <w:rPr>
        <w:rFonts w:hint="default"/>
        <w:lang w:val="it-IT" w:eastAsia="it-IT" w:bidi="it-IT"/>
      </w:rPr>
    </w:lvl>
    <w:lvl w:ilvl="6" w:tplc="0D04CCD2">
      <w:numFmt w:val="bullet"/>
      <w:lvlText w:val="•"/>
      <w:lvlJc w:val="left"/>
      <w:pPr>
        <w:ind w:left="4534" w:hanging="360"/>
      </w:pPr>
      <w:rPr>
        <w:rFonts w:hint="default"/>
        <w:lang w:val="it-IT" w:eastAsia="it-IT" w:bidi="it-IT"/>
      </w:rPr>
    </w:lvl>
    <w:lvl w:ilvl="7" w:tplc="3912E0D6">
      <w:numFmt w:val="bullet"/>
      <w:lvlText w:val="•"/>
      <w:lvlJc w:val="left"/>
      <w:pPr>
        <w:ind w:left="5153" w:hanging="360"/>
      </w:pPr>
      <w:rPr>
        <w:rFonts w:hint="default"/>
        <w:lang w:val="it-IT" w:eastAsia="it-IT" w:bidi="it-IT"/>
      </w:rPr>
    </w:lvl>
    <w:lvl w:ilvl="8" w:tplc="F86E5168">
      <w:numFmt w:val="bullet"/>
      <w:lvlText w:val="•"/>
      <w:lvlJc w:val="left"/>
      <w:pPr>
        <w:ind w:left="5772" w:hanging="36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D3"/>
    <w:rsid w:val="000719BA"/>
    <w:rsid w:val="000F2C46"/>
    <w:rsid w:val="002014B8"/>
    <w:rsid w:val="002F3ED3"/>
    <w:rsid w:val="003B5101"/>
    <w:rsid w:val="005C604A"/>
    <w:rsid w:val="006B46FB"/>
    <w:rsid w:val="00727CC5"/>
    <w:rsid w:val="00947D85"/>
    <w:rsid w:val="00C5565F"/>
    <w:rsid w:val="00DD7B10"/>
    <w:rsid w:val="00DF37B3"/>
    <w:rsid w:val="00ED4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 w:type="character" w:styleId="Collegamentoipertestuale">
    <w:name w:val="Hyperlink"/>
    <w:basedOn w:val="Carpredefinitoparagrafo"/>
    <w:uiPriority w:val="99"/>
    <w:unhideWhenUsed/>
    <w:rsid w:val="00DF37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 w:type="character" w:styleId="Collegamentoipertestuale">
    <w:name w:val="Hyperlink"/>
    <w:basedOn w:val="Carpredefinitoparagrafo"/>
    <w:uiPriority w:val="99"/>
    <w:unhideWhenUsed/>
    <w:rsid w:val="00DF37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C:%20asur@emarch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4</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michela.santamaria</dc:creator>
  <cp:lastModifiedBy>Cristina Omenetti</cp:lastModifiedBy>
  <cp:revision>2</cp:revision>
  <dcterms:created xsi:type="dcterms:W3CDTF">2019-11-29T12:29:00Z</dcterms:created>
  <dcterms:modified xsi:type="dcterms:W3CDTF">2019-11-29T12:29:00Z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2014-01-30T00:00:00Z</vt:filetime>
  </property>
  <property fmtid="{D5CDD505-2E9C-101B-9397-08002B2CF9AE}" pid="3" name="Creator">
    <vt:lpwstr>PScript5.dll Version 5.2.2</vt:lpwstr>
  </property>
  <property fmtid="{D5CDD505-2E9C-101B-9397-08002B2CF9AE}" pid="4" name="LastSaved">
    <vt:filetime>2019-11-27T00:00:00Z</vt:filetime>
  </property>
</Properties>
</file>