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473F5" w:rsidRPr="00E54EE8" w14:paraId="016F2E9B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F718183" w14:textId="77777777" w:rsidR="00D6738C" w:rsidRDefault="009473F5" w:rsidP="009473F5">
            <w:pPr>
              <w:pStyle w:val="ECVPersonalInfoHeading"/>
              <w:rPr>
                <w:rFonts w:ascii="Century Gothic" w:eastAsia="Times New Roman" w:hAnsi="Century Gothic" w:cs="Century Gothic"/>
                <w:b/>
                <w:color w:val="auto"/>
                <w:spacing w:val="0"/>
                <w:kern w:val="0"/>
                <w:sz w:val="20"/>
                <w:szCs w:val="22"/>
                <w:lang w:val="it-IT" w:eastAsia="it-IT" w:bidi="ar-SA"/>
              </w:rPr>
            </w:pPr>
            <w:bookmarkStart w:id="0" w:name="_GoBack"/>
            <w:bookmarkEnd w:id="0"/>
            <w:r w:rsidRPr="00A94BDA">
              <w:rPr>
                <w:rFonts w:ascii="Century Gothic" w:eastAsia="Times New Roman" w:hAnsi="Century Gothic" w:cs="Century Gothic"/>
                <w:b/>
                <w:color w:val="auto"/>
                <w:spacing w:val="0"/>
                <w:kern w:val="0"/>
                <w:sz w:val="20"/>
                <w:szCs w:val="22"/>
                <w:u w:val="single"/>
                <w:lang w:val="it-IT" w:eastAsia="it-IT" w:bidi="ar-SA"/>
              </w:rPr>
              <w:t xml:space="preserve">CU R </w:t>
            </w:r>
            <w:proofErr w:type="spellStart"/>
            <w:r w:rsidRPr="00A94BDA">
              <w:rPr>
                <w:rFonts w:ascii="Century Gothic" w:eastAsia="Times New Roman" w:hAnsi="Century Gothic" w:cs="Century Gothic"/>
                <w:b/>
                <w:color w:val="auto"/>
                <w:spacing w:val="0"/>
                <w:kern w:val="0"/>
                <w:sz w:val="20"/>
                <w:szCs w:val="22"/>
                <w:u w:val="single"/>
                <w:lang w:val="it-IT" w:eastAsia="it-IT" w:bidi="ar-SA"/>
              </w:rPr>
              <w:t>R</w:t>
            </w:r>
            <w:proofErr w:type="spellEnd"/>
            <w:r w:rsidRPr="00A94BDA">
              <w:rPr>
                <w:rFonts w:ascii="Century Gothic" w:eastAsia="Times New Roman" w:hAnsi="Century Gothic" w:cs="Century Gothic"/>
                <w:b/>
                <w:color w:val="auto"/>
                <w:spacing w:val="0"/>
                <w:kern w:val="0"/>
                <w:sz w:val="20"/>
                <w:szCs w:val="22"/>
                <w:u w:val="single"/>
                <w:lang w:val="it-IT" w:eastAsia="it-IT" w:bidi="ar-SA"/>
              </w:rPr>
              <w:t xml:space="preserve"> I CU L UM VI TAE DI</w:t>
            </w:r>
            <w:r w:rsidRPr="00A94BDA">
              <w:rPr>
                <w:rFonts w:ascii="Century Gothic" w:eastAsia="Times New Roman" w:hAnsi="Century Gothic" w:cs="Century Gothic"/>
                <w:b/>
                <w:color w:val="auto"/>
                <w:spacing w:val="0"/>
                <w:kern w:val="0"/>
                <w:sz w:val="20"/>
                <w:szCs w:val="22"/>
                <w:lang w:val="it-IT" w:eastAsia="it-IT" w:bidi="ar-SA"/>
              </w:rPr>
              <w:t>:</w:t>
            </w:r>
          </w:p>
          <w:p w14:paraId="408288AF" w14:textId="77777777" w:rsidR="009473F5" w:rsidRPr="00A94BDA" w:rsidRDefault="009473F5" w:rsidP="009473F5">
            <w:pPr>
              <w:pStyle w:val="ECVPersonalInfoHeading"/>
              <w:rPr>
                <w:rFonts w:ascii="Century Gothic" w:eastAsia="Times New Roman" w:hAnsi="Century Gothic" w:cs="Century Gothic"/>
                <w:color w:val="auto"/>
                <w:spacing w:val="0"/>
                <w:kern w:val="0"/>
                <w:sz w:val="20"/>
                <w:szCs w:val="22"/>
                <w:lang w:val="it-IT" w:eastAsia="it-IT" w:bidi="ar-SA"/>
              </w:rPr>
            </w:pPr>
            <w:r w:rsidRPr="00A94BDA">
              <w:rPr>
                <w:rFonts w:ascii="Century Gothic" w:eastAsia="Times New Roman" w:hAnsi="Century Gothic" w:cs="Century Gothic"/>
                <w:color w:val="auto"/>
                <w:spacing w:val="0"/>
                <w:kern w:val="0"/>
                <w:sz w:val="20"/>
                <w:szCs w:val="22"/>
                <w:lang w:val="it-IT" w:eastAsia="it-IT" w:bidi="ar-SA"/>
              </w:rPr>
              <w:t xml:space="preserve"> </w:t>
            </w:r>
          </w:p>
          <w:p w14:paraId="6AC2726B" w14:textId="77777777" w:rsidR="009473F5" w:rsidRDefault="00A94BDA" w:rsidP="009473F5">
            <w:pPr>
              <w:pStyle w:val="ECVPersonalInfoHeading"/>
              <w:pBdr>
                <w:bottom w:val="single" w:sz="6" w:space="1" w:color="auto"/>
              </w:pBdr>
              <w:rPr>
                <w:rFonts w:ascii="Century Gothic" w:hAnsi="Century Gothic"/>
                <w:color w:val="auto"/>
                <w:sz w:val="22"/>
                <w:lang w:val="it-IT"/>
              </w:rPr>
            </w:pPr>
            <w:r w:rsidRPr="00A94BDA">
              <w:rPr>
                <w:rFonts w:ascii="Century Gothic" w:hAnsi="Century Gothic"/>
                <w:color w:val="auto"/>
                <w:sz w:val="22"/>
                <w:lang w:val="it-IT"/>
              </w:rPr>
              <w:t>Alessia Smerilli</w:t>
            </w:r>
          </w:p>
          <w:p w14:paraId="40AC72B3" w14:textId="77777777" w:rsidR="00D6738C" w:rsidRPr="00E54EE8" w:rsidRDefault="00D6738C" w:rsidP="009473F5">
            <w:pPr>
              <w:pStyle w:val="ECVPersonalInfoHeading"/>
              <w:rPr>
                <w:rFonts w:ascii="Century Gothic" w:eastAsia="Times New Roman" w:hAnsi="Century Gothic" w:cs="Century Gothic"/>
                <w:color w:val="auto"/>
                <w:spacing w:val="0"/>
                <w:kern w:val="0"/>
                <w:szCs w:val="22"/>
                <w:lang w:val="it-IT" w:eastAsia="it-IT" w:bidi="ar-SA"/>
              </w:rPr>
            </w:pPr>
          </w:p>
          <w:p w14:paraId="32B91239" w14:textId="77777777" w:rsidR="00A94BDA" w:rsidRDefault="00D6738C" w:rsidP="009473F5">
            <w:pPr>
              <w:pStyle w:val="ECVPersonalInfoHeading"/>
              <w:rPr>
                <w:rFonts w:ascii="Century Gothic" w:eastAsia="Times New Roman" w:hAnsi="Century Gothic" w:cs="Century Gothic"/>
                <w:b/>
                <w:color w:val="auto"/>
                <w:spacing w:val="0"/>
                <w:kern w:val="0"/>
                <w:sz w:val="20"/>
                <w:szCs w:val="22"/>
                <w:lang w:val="it-IT" w:eastAsia="it-IT" w:bidi="ar-SA"/>
              </w:rPr>
            </w:pPr>
            <w:r>
              <w:rPr>
                <w:rFonts w:ascii="Century Gothic" w:eastAsia="Times New Roman" w:hAnsi="Century Gothic" w:cs="Century Gothic"/>
                <w:b/>
                <w:noProof/>
                <w:color w:val="auto"/>
                <w:spacing w:val="0"/>
                <w:kern w:val="0"/>
                <w:sz w:val="20"/>
                <w:szCs w:val="22"/>
                <w:lang w:val="it-IT" w:eastAsia="it-IT" w:bidi="ar-SA"/>
              </w:rPr>
              <w:drawing>
                <wp:inline distT="0" distB="0" distL="0" distR="0" wp14:anchorId="75474C6B" wp14:editId="4B4B8BE6">
                  <wp:extent cx="401989" cy="274778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115" cy="27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CDC58" w14:textId="77777777" w:rsidR="00D6738C" w:rsidRDefault="00D6738C" w:rsidP="009473F5">
            <w:pPr>
              <w:pStyle w:val="ECVPersonalInfoHeading"/>
              <w:rPr>
                <w:rFonts w:ascii="Century Gothic" w:eastAsia="Times New Roman" w:hAnsi="Century Gothic" w:cs="Century Gothic"/>
                <w:b/>
                <w:color w:val="auto"/>
                <w:spacing w:val="0"/>
                <w:kern w:val="0"/>
                <w:sz w:val="20"/>
                <w:szCs w:val="22"/>
                <w:lang w:val="it-IT" w:eastAsia="it-IT" w:bidi="ar-SA"/>
              </w:rPr>
            </w:pPr>
          </w:p>
          <w:p w14:paraId="7F9DC1F4" w14:textId="77777777" w:rsidR="002A00A2" w:rsidRPr="00E54EE8" w:rsidRDefault="009473F5" w:rsidP="009473F5">
            <w:pPr>
              <w:pStyle w:val="ECVPersonalInfoHeading"/>
              <w:rPr>
                <w:rFonts w:ascii="Century Gothic" w:hAnsi="Century Gothic"/>
                <w:b/>
                <w:color w:val="auto"/>
                <w:lang w:val="it-IT"/>
              </w:rPr>
            </w:pPr>
            <w:r w:rsidRPr="00E54EE8">
              <w:rPr>
                <w:rFonts w:ascii="Century Gothic" w:eastAsia="Times New Roman" w:hAnsi="Century Gothic" w:cs="Century Gothic"/>
                <w:b/>
                <w:color w:val="auto"/>
                <w:spacing w:val="0"/>
                <w:kern w:val="0"/>
                <w:sz w:val="20"/>
                <w:szCs w:val="22"/>
                <w:lang w:val="it-IT" w:eastAsia="it-IT" w:bidi="ar-SA"/>
              </w:rPr>
              <w:t>I</w:t>
            </w:r>
            <w:r w:rsidR="002A00A2" w:rsidRPr="00E54EE8">
              <w:rPr>
                <w:rFonts w:ascii="Century Gothic" w:hAnsi="Century Gothic"/>
                <w:b/>
                <w:caps w:val="0"/>
                <w:color w:val="auto"/>
                <w:lang w:val="it-IT"/>
              </w:rPr>
              <w:t>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226B15D" w14:textId="77777777" w:rsidR="002A00A2" w:rsidRPr="00E54EE8" w:rsidRDefault="002A00A2">
            <w:pPr>
              <w:pStyle w:val="ECVNameField"/>
              <w:rPr>
                <w:rFonts w:ascii="Century Gothic" w:hAnsi="Century Gothic"/>
                <w:color w:val="auto"/>
                <w:lang w:val="it-IT"/>
              </w:rPr>
            </w:pPr>
          </w:p>
        </w:tc>
      </w:tr>
      <w:tr w:rsidR="009473F5" w:rsidRPr="00E54EE8" w14:paraId="5325CD83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215BA06A" w14:textId="77777777" w:rsidR="002A00A2" w:rsidRPr="00E54EE8" w:rsidRDefault="002A00A2">
            <w:pPr>
              <w:pStyle w:val="ECVComments"/>
              <w:rPr>
                <w:rFonts w:ascii="Century Gothic" w:hAnsi="Century Gothic"/>
                <w:color w:val="auto"/>
                <w:lang w:val="it-IT"/>
              </w:rPr>
            </w:pPr>
          </w:p>
        </w:tc>
      </w:tr>
    </w:tbl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473F5" w:rsidRPr="00857656" w14:paraId="78C2CB9E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6697A0" w14:textId="77777777" w:rsidR="002A00A2" w:rsidRPr="00E54EE8" w:rsidRDefault="002A00A2">
            <w:pPr>
              <w:pStyle w:val="ECVLeftHeading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POSIZIONE RICOPERTA</w:t>
            </w:r>
          </w:p>
          <w:p w14:paraId="28D378B8" w14:textId="77777777" w:rsidR="002A00A2" w:rsidRPr="00E54EE8" w:rsidRDefault="002A00A2">
            <w:pPr>
              <w:pStyle w:val="ECVLeftHeading"/>
              <w:rPr>
                <w:rFonts w:ascii="Century Gothic" w:hAnsi="Century Gothic"/>
                <w:color w:val="auto"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3CAE909" w14:textId="77777777" w:rsidR="002A00A2" w:rsidRPr="00E54EE8" w:rsidRDefault="00A87E4F" w:rsidP="00A81CDB">
            <w:pPr>
              <w:pStyle w:val="ECVNameField"/>
              <w:rPr>
                <w:rFonts w:ascii="Century Gothic" w:hAnsi="Century Gothic"/>
                <w:noProof/>
                <w:color w:val="auto"/>
                <w:sz w:val="24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24"/>
                <w:lang w:val="it-IT"/>
              </w:rPr>
              <w:t>Medico</w:t>
            </w:r>
            <w:r w:rsidR="003F6A14" w:rsidRPr="00E54EE8">
              <w:rPr>
                <w:rFonts w:ascii="Century Gothic" w:hAnsi="Century Gothic"/>
                <w:noProof/>
                <w:color w:val="auto"/>
                <w:sz w:val="24"/>
                <w:lang w:val="it-IT"/>
              </w:rPr>
              <w:t xml:space="preserve"> </w:t>
            </w:r>
            <w:r w:rsidR="00A81CDB" w:rsidRPr="00E54EE8">
              <w:rPr>
                <w:rFonts w:ascii="Century Gothic" w:hAnsi="Century Gothic"/>
                <w:noProof/>
                <w:color w:val="auto"/>
                <w:sz w:val="24"/>
                <w:lang w:val="it-IT"/>
              </w:rPr>
              <w:t>specialista in Endocrinologia e Malattie del M</w:t>
            </w:r>
            <w:r w:rsidRPr="00E54EE8">
              <w:rPr>
                <w:rFonts w:ascii="Century Gothic" w:hAnsi="Century Gothic"/>
                <w:noProof/>
                <w:color w:val="auto"/>
                <w:sz w:val="24"/>
                <w:lang w:val="it-IT"/>
              </w:rPr>
              <w:t>etabolismo</w:t>
            </w:r>
            <w:r w:rsidR="00A81CDB" w:rsidRPr="00E54EE8">
              <w:rPr>
                <w:rFonts w:ascii="Century Gothic" w:hAnsi="Century Gothic"/>
                <w:noProof/>
                <w:color w:val="auto"/>
                <w:sz w:val="24"/>
                <w:lang w:val="it-IT"/>
              </w:rPr>
              <w:t>.</w:t>
            </w:r>
          </w:p>
          <w:p w14:paraId="2A5ACEF8" w14:textId="77777777" w:rsidR="00445983" w:rsidRPr="00E54EE8" w:rsidRDefault="00445983" w:rsidP="00A81CDB">
            <w:pPr>
              <w:pStyle w:val="ECVNameField"/>
              <w:rPr>
                <w:rFonts w:ascii="Century Gothic" w:hAnsi="Century Gothic"/>
                <w:color w:val="auto"/>
                <w:sz w:val="18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  <w:t>Iscrizione (n. 816) , dal 27/02/2012, all’Ordine dei Medici Chirurghi ed Odontoiatri della Provincia di Fermo</w:t>
            </w:r>
          </w:p>
        </w:tc>
      </w:tr>
    </w:tbl>
    <w:p w14:paraId="640A7032" w14:textId="77777777" w:rsidR="002A00A2" w:rsidRPr="00E54EE8" w:rsidRDefault="002A00A2">
      <w:pPr>
        <w:pStyle w:val="ECVText"/>
        <w:rPr>
          <w:rFonts w:ascii="Century Gothic" w:hAnsi="Century Gothic"/>
          <w:color w:val="auto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8"/>
      </w:tblGrid>
      <w:tr w:rsidR="002A00A2" w:rsidRPr="00E54EE8" w14:paraId="36BD1E62" w14:textId="77777777" w:rsidTr="00B502FA">
        <w:trPr>
          <w:trHeight w:val="170"/>
        </w:trPr>
        <w:tc>
          <w:tcPr>
            <w:tcW w:w="2977" w:type="dxa"/>
            <w:shd w:val="clear" w:color="auto" w:fill="auto"/>
          </w:tcPr>
          <w:p w14:paraId="7F7F1B7B" w14:textId="77777777" w:rsidR="002A00A2" w:rsidRPr="00E54EE8" w:rsidRDefault="002A00A2" w:rsidP="00D6738C">
            <w:pPr>
              <w:pStyle w:val="ECVLeftHeading"/>
              <w:jc w:val="both"/>
              <w:rPr>
                <w:rFonts w:ascii="Century Gothic" w:hAnsi="Century Gothic"/>
                <w:b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b/>
                <w:caps w:val="0"/>
                <w:color w:val="auto"/>
                <w:lang w:val="it-IT"/>
              </w:rPr>
              <w:t>ESPERIENZA</w:t>
            </w:r>
            <w:r w:rsidR="00A87E4F" w:rsidRPr="00E54EE8">
              <w:rPr>
                <w:rFonts w:ascii="Century Gothic" w:hAnsi="Century Gothic"/>
                <w:b/>
                <w:caps w:val="0"/>
                <w:color w:val="auto"/>
                <w:lang w:val="it-IT"/>
              </w:rPr>
              <w:t xml:space="preserve"> </w:t>
            </w:r>
            <w:r w:rsidR="00D6738C">
              <w:rPr>
                <w:rFonts w:ascii="Century Gothic" w:hAnsi="Century Gothic"/>
                <w:b/>
                <w:caps w:val="0"/>
                <w:color w:val="auto"/>
                <w:lang w:val="it-IT"/>
              </w:rPr>
              <w:t>LAVORATIVA</w:t>
            </w:r>
          </w:p>
        </w:tc>
        <w:tc>
          <w:tcPr>
            <w:tcW w:w="7398" w:type="dxa"/>
            <w:shd w:val="clear" w:color="auto" w:fill="auto"/>
            <w:vAlign w:val="bottom"/>
          </w:tcPr>
          <w:p w14:paraId="4A4E3E69" w14:textId="77777777" w:rsidR="002A00A2" w:rsidRPr="00E54EE8" w:rsidRDefault="00C06DDC">
            <w:pPr>
              <w:pStyle w:val="ECVBlueBox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 w:eastAsia="it-IT" w:bidi="ar-SA"/>
              </w:rPr>
              <w:drawing>
                <wp:inline distT="0" distB="0" distL="0" distR="0" wp14:anchorId="61F38680" wp14:editId="567BBD9B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E54EE8">
              <w:rPr>
                <w:rFonts w:ascii="Century Gothic" w:hAnsi="Century Gothic"/>
                <w:color w:val="auto"/>
                <w:lang w:val="it-IT"/>
              </w:rPr>
              <w:t xml:space="preserve"> </w:t>
            </w:r>
          </w:p>
        </w:tc>
      </w:tr>
    </w:tbl>
    <w:p w14:paraId="10436015" w14:textId="77777777" w:rsidR="002A00A2" w:rsidRPr="00E54EE8" w:rsidRDefault="002A00A2">
      <w:pPr>
        <w:pStyle w:val="ECVComments"/>
        <w:rPr>
          <w:rFonts w:ascii="Century Gothic" w:hAnsi="Century Gothic"/>
          <w:color w:val="auto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473F5" w:rsidRPr="00857656" w14:paraId="3F455EF5" w14:textId="77777777" w:rsidTr="00A87E4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8E2A345" w14:textId="36E49097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  <w:r>
              <w:rPr>
                <w:rFonts w:ascii="Century Gothic" w:hAnsi="Century Gothic"/>
                <w:color w:val="auto"/>
                <w:sz w:val="16"/>
                <w:lang w:val="it-IT"/>
              </w:rPr>
              <w:t>Dal 16 ottobre 2019 ad oggi</w:t>
            </w:r>
          </w:p>
          <w:p w14:paraId="798BCAB1" w14:textId="77777777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0F7E56F4" w14:textId="77777777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669EC07B" w14:textId="77777777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506BD28D" w14:textId="7CDA87F5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  <w:r>
              <w:rPr>
                <w:rFonts w:ascii="Century Gothic" w:hAnsi="Century Gothic"/>
                <w:color w:val="auto"/>
                <w:sz w:val="16"/>
                <w:lang w:val="it-IT"/>
              </w:rPr>
              <w:t>Dal 10 luglio 2019 al 15 ottobre 2019</w:t>
            </w:r>
          </w:p>
          <w:p w14:paraId="48012B27" w14:textId="77777777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32BF61F5" w14:textId="77777777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5A491F50" w14:textId="77777777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22488FF9" w14:textId="77777777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03C9CE3D" w14:textId="4243134F" w:rsidR="007972EB" w:rsidRPr="00E54EE8" w:rsidRDefault="007972EB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6"/>
                <w:lang w:val="it-IT"/>
              </w:rPr>
              <w:t>Da</w:t>
            </w:r>
            <w:r w:rsidR="00DE2E4F">
              <w:rPr>
                <w:rFonts w:ascii="Century Gothic" w:hAnsi="Century Gothic"/>
                <w:color w:val="auto"/>
                <w:sz w:val="16"/>
                <w:lang w:val="it-IT"/>
              </w:rPr>
              <w:t>l 22</w:t>
            </w:r>
            <w:r w:rsidRPr="00E54EE8">
              <w:rPr>
                <w:rFonts w:ascii="Century Gothic" w:hAnsi="Century Gothic"/>
                <w:color w:val="auto"/>
                <w:sz w:val="16"/>
                <w:lang w:val="it-IT"/>
              </w:rPr>
              <w:t xml:space="preserve"> novembre 2018 a</w:t>
            </w:r>
            <w:r w:rsidR="00DE2E4F">
              <w:rPr>
                <w:rFonts w:ascii="Century Gothic" w:hAnsi="Century Gothic"/>
                <w:color w:val="auto"/>
                <w:sz w:val="16"/>
                <w:lang w:val="it-IT"/>
              </w:rPr>
              <w:t>l 09 luglio 2019</w:t>
            </w:r>
          </w:p>
          <w:p w14:paraId="6FF9AE02" w14:textId="77777777" w:rsidR="007972EB" w:rsidRPr="00E54EE8" w:rsidRDefault="007E3D1D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6"/>
                <w:lang w:val="it-IT"/>
              </w:rPr>
              <w:t xml:space="preserve">       </w:t>
            </w:r>
          </w:p>
          <w:p w14:paraId="5895773D" w14:textId="77777777" w:rsidR="00A8275A" w:rsidRPr="00E54EE8" w:rsidRDefault="00A8275A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790C4A61" w14:textId="77777777" w:rsidR="00A8275A" w:rsidRPr="00E54EE8" w:rsidRDefault="00A8275A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678E68AB" w14:textId="77777777" w:rsidR="00A8275A" w:rsidRPr="00E54EE8" w:rsidRDefault="00A8275A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5D5244A8" w14:textId="77777777" w:rsidR="007E3D1D" w:rsidRPr="00E54EE8" w:rsidRDefault="007E3D1D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6"/>
                <w:lang w:val="it-IT"/>
              </w:rPr>
              <w:t xml:space="preserve">Da settembre 2018 ad oggi               </w:t>
            </w:r>
          </w:p>
          <w:p w14:paraId="3820C762" w14:textId="77777777" w:rsidR="007E3D1D" w:rsidRPr="00E54EE8" w:rsidRDefault="007E3D1D" w:rsidP="007E3D1D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6"/>
                <w:lang w:val="it-IT"/>
              </w:rPr>
              <w:t xml:space="preserve">                                   </w:t>
            </w:r>
          </w:p>
          <w:p w14:paraId="5C8DD916" w14:textId="77777777" w:rsidR="00E54EE8" w:rsidRPr="00E54EE8" w:rsidRDefault="00E54EE8" w:rsidP="00E54EE8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</w:p>
          <w:p w14:paraId="48CDFCB4" w14:textId="77777777" w:rsidR="002A00A2" w:rsidRPr="00E54EE8" w:rsidRDefault="00A81CDB" w:rsidP="00E54EE8">
            <w:pPr>
              <w:pStyle w:val="ECVDate"/>
              <w:jc w:val="left"/>
              <w:rPr>
                <w:rFonts w:ascii="Century Gothic" w:hAnsi="Century Gothic"/>
                <w:color w:val="auto"/>
                <w:sz w:val="16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6"/>
                <w:lang w:val="it-IT"/>
              </w:rPr>
              <w:t>Da agosto 2013 ad agosto 2018</w:t>
            </w:r>
          </w:p>
        </w:tc>
        <w:tc>
          <w:tcPr>
            <w:tcW w:w="7541" w:type="dxa"/>
            <w:shd w:val="clear" w:color="auto" w:fill="auto"/>
          </w:tcPr>
          <w:p w14:paraId="2E0A1CC8" w14:textId="7F9653A4" w:rsidR="00DE2E4F" w:rsidRDefault="00DE2E4F" w:rsidP="00DE2E4F">
            <w:pPr>
              <w:pStyle w:val="ECVDate"/>
              <w:jc w:val="left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Dirigente Medico di Medicina Interna c/o UOC Medicina Interna Amandola, Area Vasta 4, Fermo</w:t>
            </w:r>
          </w:p>
          <w:p w14:paraId="4513C798" w14:textId="77777777" w:rsidR="00DE2E4F" w:rsidRDefault="00DE2E4F" w:rsidP="00DE2E4F">
            <w:pPr>
              <w:pStyle w:val="ECVDate"/>
              <w:jc w:val="left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</w:p>
          <w:p w14:paraId="30B1354B" w14:textId="02EBE057" w:rsidR="00DE2E4F" w:rsidRPr="00E54EE8" w:rsidRDefault="00DE2E4F" w:rsidP="00DE2E4F">
            <w:pPr>
              <w:pStyle w:val="ECVDate"/>
              <w:jc w:val="left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Dirigente Medico, disciplina </w:t>
            </w:r>
            <w:r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Diabetologia e Malattie Metaboliche</w:t>
            </w: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, c/o </w:t>
            </w:r>
            <w:r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Diabetologia</w:t>
            </w: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, IRCCS INRCA   Por di Ancona, </w:t>
            </w:r>
            <w:r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con contratto a tempo determinato e pieno, 38 ore settimanali.</w:t>
            </w:r>
          </w:p>
          <w:p w14:paraId="3460545C" w14:textId="77777777" w:rsidR="00DE2E4F" w:rsidRDefault="00DE2E4F" w:rsidP="007E3D1D">
            <w:pPr>
              <w:pStyle w:val="ECVDate"/>
              <w:jc w:val="left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</w:p>
          <w:p w14:paraId="21646BD2" w14:textId="609E4F98" w:rsidR="007972EB" w:rsidRPr="00E54EE8" w:rsidRDefault="007972EB" w:rsidP="007E3D1D">
            <w:pPr>
              <w:pStyle w:val="ECVDate"/>
              <w:jc w:val="left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Dirigente Medico, disciplina Endocrinologia, </w:t>
            </w:r>
            <w:r w:rsidR="00A8275A"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c/o UOC Piede Diabetico</w:t>
            </w:r>
            <w:r w:rsidR="00856249"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,</w:t>
            </w:r>
            <w:r w:rsidR="00A8275A"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 IRCCS INRCA </w:t>
            </w:r>
            <w:r w:rsidR="00856249"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  Por </w:t>
            </w:r>
            <w:r w:rsidR="00A8275A"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di Ancona, </w:t>
            </w: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per lo</w:t>
            </w:r>
            <w:r w:rsidR="00A8275A"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 svolgimento delle attività scientifiche connesse al progetto di ricerca DC Pressure.</w:t>
            </w: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  </w:t>
            </w:r>
          </w:p>
          <w:p w14:paraId="24891661" w14:textId="77777777" w:rsidR="007972EB" w:rsidRPr="00E54EE8" w:rsidRDefault="007972EB" w:rsidP="007E3D1D">
            <w:pPr>
              <w:pStyle w:val="ECVDate"/>
              <w:jc w:val="left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</w:p>
          <w:p w14:paraId="3A2C5ED5" w14:textId="77777777" w:rsidR="007E3D1D" w:rsidRPr="00E54EE8" w:rsidRDefault="007E3D1D" w:rsidP="007E3D1D">
            <w:pPr>
              <w:pStyle w:val="ECVDate"/>
              <w:jc w:val="left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Medico specialista in Endocrinologia e Malattie del Metabolismo</w:t>
            </w:r>
          </w:p>
          <w:p w14:paraId="533ED1D1" w14:textId="77777777" w:rsidR="007E3D1D" w:rsidRPr="00E54EE8" w:rsidRDefault="007E3D1D" w:rsidP="007E3D1D">
            <w:pPr>
              <w:pStyle w:val="ECVSubSectionHeading"/>
              <w:spacing w:line="240" w:lineRule="auto"/>
              <w:rPr>
                <w:rFonts w:ascii="Century Gothic" w:eastAsia="ArialMT" w:hAnsi="Century Gothic" w:cs="ArialMT"/>
                <w:noProof/>
                <w:color w:val="auto"/>
                <w:sz w:val="18"/>
                <w:szCs w:val="18"/>
                <w:lang w:val="it-IT"/>
              </w:rPr>
            </w:pPr>
            <w:r w:rsidRPr="00E54EE8">
              <w:rPr>
                <w:rFonts w:ascii="Century Gothic" w:eastAsia="ArialMT" w:hAnsi="Century Gothic" w:cs="ArialMT"/>
                <w:noProof/>
                <w:color w:val="auto"/>
                <w:sz w:val="18"/>
                <w:szCs w:val="18"/>
                <w:lang w:val="it-IT"/>
              </w:rPr>
              <w:t xml:space="preserve">Ambulatori Polispecialisti privati                                                                 </w:t>
            </w:r>
          </w:p>
          <w:p w14:paraId="2C0420DC" w14:textId="77777777" w:rsidR="007E3D1D" w:rsidRPr="00E54EE8" w:rsidRDefault="007E3D1D" w:rsidP="007E3D1D">
            <w:pPr>
              <w:pStyle w:val="ECVSubSectionHeading"/>
              <w:spacing w:line="240" w:lineRule="auto"/>
              <w:rPr>
                <w:rFonts w:ascii="Century Gothic" w:hAnsi="Century Gothic"/>
                <w:noProof/>
                <w:color w:val="auto"/>
                <w:lang w:val="it-IT"/>
              </w:rPr>
            </w:pPr>
          </w:p>
          <w:p w14:paraId="356D5AE9" w14:textId="77777777" w:rsidR="00462EAA" w:rsidRPr="00E54EE8" w:rsidRDefault="00A87E4F" w:rsidP="00A8275A">
            <w:pPr>
              <w:pStyle w:val="ECVSubSectionHeading"/>
              <w:spacing w:line="240" w:lineRule="auto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Medico in formazione specialistica in Endocrinologia e Malattie del metabolismo degli Ospedali Riuniti di Ancona</w:t>
            </w:r>
          </w:p>
        </w:tc>
      </w:tr>
      <w:tr w:rsidR="009473F5" w:rsidRPr="00857656" w14:paraId="43B30C5A" w14:textId="77777777" w:rsidTr="00A87E4F">
        <w:trPr>
          <w:cantSplit/>
          <w:trHeight w:val="663"/>
        </w:trPr>
        <w:tc>
          <w:tcPr>
            <w:tcW w:w="2834" w:type="dxa"/>
            <w:vMerge/>
            <w:shd w:val="clear" w:color="auto" w:fill="auto"/>
          </w:tcPr>
          <w:p w14:paraId="6358AD53" w14:textId="77777777" w:rsidR="002A00A2" w:rsidRPr="00E54EE8" w:rsidRDefault="002A00A2" w:rsidP="00A87E4F">
            <w:pPr>
              <w:rPr>
                <w:rFonts w:ascii="Century Gothic" w:hAnsi="Century Gothic"/>
                <w:color w:val="auto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BFE3E90" w14:textId="77777777" w:rsidR="002A00A2" w:rsidRPr="00E54EE8" w:rsidRDefault="00A87E4F" w:rsidP="00A8275A">
            <w:pPr>
              <w:pStyle w:val="ECVOrganisationDetails"/>
              <w:spacing w:before="0" w:after="100" w:afterAutospacing="1" w:line="240" w:lineRule="auto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Clinica di Endocrinologia e </w:t>
            </w:r>
            <w:r w:rsidR="00462EAA" w:rsidRPr="00E54EE8">
              <w:rPr>
                <w:rFonts w:ascii="Century Gothic" w:hAnsi="Century Gothic"/>
                <w:noProof/>
                <w:color w:val="auto"/>
                <w:lang w:val="it-IT"/>
              </w:rPr>
              <w:t>Malattie del metabolismo degli O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spedali Riuniti di Ancona,</w:t>
            </w:r>
            <w:r w:rsidR="00A8275A"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via Conca 71, 60126, Ancona</w:t>
            </w:r>
          </w:p>
        </w:tc>
      </w:tr>
      <w:tr w:rsidR="009473F5" w:rsidRPr="00857656" w14:paraId="27DD0BE4" w14:textId="77777777" w:rsidTr="00A87E4F">
        <w:trPr>
          <w:cantSplit/>
          <w:trHeight w:val="79"/>
        </w:trPr>
        <w:tc>
          <w:tcPr>
            <w:tcW w:w="2834" w:type="dxa"/>
            <w:shd w:val="clear" w:color="auto" w:fill="auto"/>
          </w:tcPr>
          <w:p w14:paraId="46EDC411" w14:textId="77777777" w:rsidR="00A87E4F" w:rsidRPr="00E54EE8" w:rsidRDefault="00A87E4F" w:rsidP="00A8275A">
            <w:pPr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Da aprile 2012 ad agosto 2013</w:t>
            </w:r>
          </w:p>
        </w:tc>
        <w:tc>
          <w:tcPr>
            <w:tcW w:w="7541" w:type="dxa"/>
            <w:shd w:val="clear" w:color="auto" w:fill="auto"/>
          </w:tcPr>
          <w:p w14:paraId="2A87A52E" w14:textId="77777777" w:rsidR="00A87E4F" w:rsidRPr="00E54EE8" w:rsidRDefault="00A87E4F" w:rsidP="00A87E4F">
            <w:pPr>
              <w:pStyle w:val="ECVOrganisationDetails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Servizio di continuità assistenziale (ex guardia medica)</w:t>
            </w:r>
          </w:p>
          <w:p w14:paraId="30D8A9DB" w14:textId="77777777" w:rsidR="00A87E4F" w:rsidRPr="00E54EE8" w:rsidRDefault="00A87E4F" w:rsidP="00A87E4F">
            <w:pPr>
              <w:pStyle w:val="ECVOrganisationDetails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Sostituzioni a </w:t>
            </w:r>
            <w:r w:rsidR="00F566FD"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tempo determinato di Medici di M</w:t>
            </w: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 xml:space="preserve">edicina </w:t>
            </w:r>
            <w:r w:rsidR="00F566FD"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G</w:t>
            </w: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enerale e Pediatri di libera scelta</w:t>
            </w:r>
          </w:p>
          <w:p w14:paraId="02F90FBA" w14:textId="77777777" w:rsidR="00A87E4F" w:rsidRPr="00E54EE8" w:rsidRDefault="00A87E4F" w:rsidP="006F303C">
            <w:pPr>
              <w:pStyle w:val="ECVBusinessSectorRow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  <w:t xml:space="preserve">Asur </w:t>
            </w:r>
            <w:r w:rsidR="006F303C" w:rsidRPr="00E54EE8"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  <w:t>Marche, A</w:t>
            </w:r>
            <w:r w:rsidRPr="00E54EE8"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  <w:t xml:space="preserve">rea </w:t>
            </w:r>
            <w:r w:rsidR="006F303C" w:rsidRPr="00E54EE8"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  <w:t>V</w:t>
            </w:r>
            <w:r w:rsidRPr="00E54EE8"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  <w:t>asta n.4</w:t>
            </w:r>
            <w:r w:rsidR="006F303C" w:rsidRPr="00E54EE8"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  <w:t xml:space="preserve">, </w:t>
            </w:r>
            <w:r w:rsidRPr="00E54EE8"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  <w:t>Fermo</w:t>
            </w:r>
          </w:p>
        </w:tc>
      </w:tr>
    </w:tbl>
    <w:p w14:paraId="661E01F2" w14:textId="77777777" w:rsidR="002A00A2" w:rsidRPr="00E54EE8" w:rsidRDefault="002A00A2">
      <w:pPr>
        <w:pStyle w:val="ECVText"/>
        <w:rPr>
          <w:rFonts w:ascii="Century Gothic" w:hAnsi="Century Gothic"/>
          <w:b/>
          <w:color w:val="auto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473F5" w:rsidRPr="00E54EE8" w14:paraId="4427AD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3D82C6" w14:textId="77777777" w:rsidR="002A00A2" w:rsidRPr="00E54EE8" w:rsidRDefault="002A00A2">
            <w:pPr>
              <w:pStyle w:val="ECVLeftHeading"/>
              <w:rPr>
                <w:rFonts w:ascii="Century Gothic" w:hAnsi="Century Gothic"/>
                <w:b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b/>
                <w:caps w:val="0"/>
                <w:color w:val="auto"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ACEA1F2" w14:textId="77777777" w:rsidR="002A00A2" w:rsidRPr="00E54EE8" w:rsidRDefault="00C06DDC">
            <w:pPr>
              <w:pStyle w:val="ECVBlueBox"/>
              <w:rPr>
                <w:rFonts w:ascii="Century Gothic" w:hAnsi="Century Gothic"/>
                <w:b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b/>
                <w:noProof/>
                <w:color w:val="auto"/>
                <w:lang w:val="it-IT" w:eastAsia="it-IT" w:bidi="ar-SA"/>
              </w:rPr>
              <w:drawing>
                <wp:inline distT="0" distB="0" distL="0" distR="0" wp14:anchorId="6425CCBB" wp14:editId="192C1194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E54EE8">
              <w:rPr>
                <w:rFonts w:ascii="Century Gothic" w:hAnsi="Century Gothic"/>
                <w:b/>
                <w:color w:val="auto"/>
                <w:lang w:val="it-IT"/>
              </w:rPr>
              <w:t xml:space="preserve"> </w:t>
            </w:r>
          </w:p>
        </w:tc>
      </w:tr>
    </w:tbl>
    <w:p w14:paraId="413FEF11" w14:textId="77777777" w:rsidR="0058464D" w:rsidRPr="00E54EE8" w:rsidRDefault="0058464D" w:rsidP="0058464D">
      <w:pPr>
        <w:pStyle w:val="ECVComments"/>
        <w:jc w:val="left"/>
        <w:rPr>
          <w:rFonts w:ascii="Century Gothic" w:hAnsi="Century Gothic"/>
          <w:color w:val="auto"/>
          <w:lang w:val="it-IT"/>
        </w:rPr>
      </w:pPr>
    </w:p>
    <w:p w14:paraId="4CC331BF" w14:textId="77777777" w:rsidR="00E54EE8" w:rsidRDefault="0058464D" w:rsidP="00E54EE8">
      <w:pPr>
        <w:pStyle w:val="ECVComments"/>
        <w:ind w:left="709"/>
        <w:jc w:val="left"/>
        <w:rPr>
          <w:rFonts w:ascii="Century Gothic" w:eastAsia="ArialMT" w:hAnsi="Century Gothic" w:cs="ArialMT"/>
          <w:noProof/>
          <w:color w:val="auto"/>
          <w:sz w:val="22"/>
          <w:szCs w:val="18"/>
          <w:lang w:val="it-IT"/>
        </w:rPr>
      </w:pPr>
      <w:r w:rsidRPr="00E54EE8">
        <w:rPr>
          <w:rFonts w:ascii="Century Gothic" w:hAnsi="Century Gothic"/>
          <w:color w:val="auto"/>
          <w:sz w:val="18"/>
          <w:lang w:val="it-IT"/>
        </w:rPr>
        <w:t xml:space="preserve">         03 settembre 2018       </w:t>
      </w:r>
      <w:r w:rsidRPr="00E54EE8">
        <w:rPr>
          <w:rFonts w:ascii="Century Gothic" w:eastAsia="ArialMT" w:hAnsi="Century Gothic" w:cs="ArialMT"/>
          <w:noProof/>
          <w:color w:val="auto"/>
          <w:sz w:val="22"/>
          <w:szCs w:val="18"/>
          <w:lang w:val="it-IT"/>
        </w:rPr>
        <w:t xml:space="preserve">Specializzazione in Endocrinologia e Malattie del Metabolismo </w:t>
      </w:r>
    </w:p>
    <w:p w14:paraId="77584CAB" w14:textId="77777777" w:rsidR="0058464D" w:rsidRPr="00E54EE8" w:rsidRDefault="00E54EE8" w:rsidP="00E54EE8">
      <w:pPr>
        <w:pStyle w:val="ECVComments"/>
        <w:ind w:left="709"/>
        <w:jc w:val="left"/>
        <w:rPr>
          <w:rFonts w:ascii="Century Gothic" w:eastAsia="ArialMT" w:hAnsi="Century Gothic" w:cs="ArialMT"/>
          <w:noProof/>
          <w:color w:val="auto"/>
          <w:sz w:val="22"/>
          <w:szCs w:val="18"/>
          <w:lang w:val="it-IT"/>
        </w:rPr>
      </w:pPr>
      <w:r>
        <w:rPr>
          <w:rFonts w:ascii="Century Gothic" w:eastAsia="ArialMT" w:hAnsi="Century Gothic" w:cs="ArialMT"/>
          <w:noProof/>
          <w:color w:val="auto"/>
          <w:sz w:val="22"/>
          <w:szCs w:val="18"/>
          <w:lang w:val="it-IT"/>
        </w:rPr>
        <w:t xml:space="preserve">                                        </w:t>
      </w:r>
      <w:r w:rsidR="0058464D" w:rsidRPr="00E54EE8">
        <w:rPr>
          <w:rFonts w:ascii="Century Gothic" w:eastAsia="ArialMT" w:hAnsi="Century Gothic" w:cs="ArialMT"/>
          <w:noProof/>
          <w:color w:val="auto"/>
          <w:sz w:val="22"/>
          <w:szCs w:val="18"/>
          <w:lang w:val="it-IT"/>
        </w:rPr>
        <w:t xml:space="preserve">(110/110 e Lode)                  </w:t>
      </w:r>
    </w:p>
    <w:p w14:paraId="118225A0" w14:textId="77777777" w:rsidR="0058464D" w:rsidRPr="00E54EE8" w:rsidRDefault="0058464D" w:rsidP="0058464D">
      <w:pPr>
        <w:pStyle w:val="ECVComments"/>
        <w:ind w:left="2127"/>
        <w:jc w:val="left"/>
        <w:rPr>
          <w:rFonts w:ascii="Century Gothic" w:eastAsia="ArialMT" w:hAnsi="Century Gothic" w:cs="ArialMT"/>
          <w:noProof/>
          <w:color w:val="auto"/>
          <w:szCs w:val="18"/>
          <w:lang w:val="it-IT"/>
        </w:rPr>
      </w:pPr>
      <w:r w:rsidRPr="00E54EE8">
        <w:rPr>
          <w:rFonts w:ascii="Century Gothic" w:eastAsia="ArialMT" w:hAnsi="Century Gothic" w:cs="ArialMT"/>
          <w:noProof/>
          <w:color w:val="auto"/>
          <w:szCs w:val="18"/>
          <w:lang w:val="it-IT"/>
        </w:rPr>
        <w:t xml:space="preserve">                  </w:t>
      </w:r>
    </w:p>
    <w:p w14:paraId="48EA1502" w14:textId="77777777" w:rsidR="002A00A2" w:rsidRPr="00E54EE8" w:rsidRDefault="0058464D" w:rsidP="0058464D">
      <w:pPr>
        <w:pStyle w:val="ECVComments"/>
        <w:ind w:left="2836"/>
        <w:jc w:val="left"/>
        <w:rPr>
          <w:rFonts w:ascii="Century Gothic" w:hAnsi="Century Gothic"/>
          <w:color w:val="auto"/>
          <w:sz w:val="18"/>
          <w:szCs w:val="18"/>
          <w:lang w:val="it-IT"/>
        </w:rPr>
      </w:pPr>
      <w:r w:rsidRPr="00E54EE8">
        <w:rPr>
          <w:rFonts w:ascii="Century Gothic" w:eastAsia="ArialMT" w:hAnsi="Century Gothic" w:cs="ArialMT"/>
          <w:noProof/>
          <w:color w:val="auto"/>
          <w:sz w:val="18"/>
          <w:szCs w:val="18"/>
          <w:lang w:val="it-IT"/>
        </w:rPr>
        <w:t>Università degli studi di Padova</w:t>
      </w:r>
      <w:r w:rsidR="00A81CDB" w:rsidRPr="00E54EE8">
        <w:rPr>
          <w:rFonts w:ascii="Century Gothic" w:eastAsia="ArialMT" w:hAnsi="Century Gothic" w:cs="ArialMT"/>
          <w:noProof/>
          <w:color w:val="auto"/>
          <w:sz w:val="18"/>
          <w:szCs w:val="18"/>
          <w:lang w:val="it-IT"/>
        </w:rPr>
        <w:t>, tesi: “Sicurezza ed efficacia, a breve e lungo termine, del tolvaptan nei nostri pazienti affetti da iponatriemia da SIAD”.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473F5" w:rsidRPr="00E54EE8" w14:paraId="199B9132" w14:textId="77777777" w:rsidTr="00CD7A8D">
        <w:trPr>
          <w:gridAfter w:val="1"/>
          <w:wAfter w:w="1305" w:type="dxa"/>
          <w:cantSplit/>
        </w:trPr>
        <w:tc>
          <w:tcPr>
            <w:tcW w:w="2834" w:type="dxa"/>
            <w:vMerge w:val="restart"/>
            <w:shd w:val="clear" w:color="auto" w:fill="auto"/>
          </w:tcPr>
          <w:p w14:paraId="5734DC2B" w14:textId="77777777" w:rsidR="00A87E4F" w:rsidRPr="00E54EE8" w:rsidRDefault="0058464D" w:rsidP="00F82CDC">
            <w:pPr>
              <w:pStyle w:val="ECVDate"/>
              <w:ind w:left="709"/>
              <w:jc w:val="center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 xml:space="preserve">                                                          </w:t>
            </w:r>
            <w:r w:rsidR="00F82CDC" w:rsidRPr="00E54EE8">
              <w:rPr>
                <w:rFonts w:ascii="Century Gothic" w:hAnsi="Century Gothic"/>
                <w:color w:val="auto"/>
                <w:lang w:val="it-IT"/>
              </w:rPr>
              <w:t xml:space="preserve">                                              </w:t>
            </w:r>
            <w:r w:rsidR="00A87E4F" w:rsidRPr="00E54EE8">
              <w:rPr>
                <w:rFonts w:ascii="Century Gothic" w:hAnsi="Century Gothic"/>
                <w:color w:val="auto"/>
                <w:lang w:val="it-IT"/>
              </w:rPr>
              <w:t>10-11 maggio 2014</w:t>
            </w:r>
          </w:p>
        </w:tc>
        <w:tc>
          <w:tcPr>
            <w:tcW w:w="6237" w:type="dxa"/>
            <w:shd w:val="clear" w:color="auto" w:fill="auto"/>
          </w:tcPr>
          <w:p w14:paraId="21EF53C9" w14:textId="77777777" w:rsidR="0058464D" w:rsidRPr="00E54EE8" w:rsidRDefault="0058464D" w:rsidP="00C2214C">
            <w:pPr>
              <w:pStyle w:val="ECVSubSectionHeading"/>
              <w:rPr>
                <w:rFonts w:ascii="Century Gothic" w:hAnsi="Century Gothic"/>
                <w:color w:val="auto"/>
                <w:lang w:val="it-IT"/>
              </w:rPr>
            </w:pPr>
          </w:p>
          <w:p w14:paraId="756E0AA7" w14:textId="77777777" w:rsidR="00A87E4F" w:rsidRPr="00E54EE8" w:rsidRDefault="00C2214C" w:rsidP="00C2214C">
            <w:pPr>
              <w:pStyle w:val="ECVSubSectionHeading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Advanced L</w:t>
            </w:r>
            <w:r w:rsidR="00A87E4F" w:rsidRPr="00E54EE8">
              <w:rPr>
                <w:rFonts w:ascii="Century Gothic" w:hAnsi="Century Gothic"/>
                <w:color w:val="auto"/>
                <w:lang w:val="it-IT"/>
              </w:rPr>
              <w:t xml:space="preserve">ife </w:t>
            </w:r>
            <w:proofErr w:type="spellStart"/>
            <w:r w:rsidRPr="00E54EE8">
              <w:rPr>
                <w:rFonts w:ascii="Century Gothic" w:hAnsi="Century Gothic"/>
                <w:color w:val="auto"/>
                <w:lang w:val="it-IT"/>
              </w:rPr>
              <w:t>S</w:t>
            </w:r>
            <w:r w:rsidR="00A87E4F" w:rsidRPr="00E54EE8">
              <w:rPr>
                <w:rFonts w:ascii="Century Gothic" w:hAnsi="Century Gothic"/>
                <w:color w:val="auto"/>
                <w:lang w:val="it-IT"/>
              </w:rPr>
              <w:t>upport</w:t>
            </w:r>
            <w:proofErr w:type="spellEnd"/>
          </w:p>
        </w:tc>
      </w:tr>
      <w:tr w:rsidR="009473F5" w:rsidRPr="00857656" w14:paraId="720629C5" w14:textId="77777777" w:rsidTr="00CD7A8D">
        <w:trPr>
          <w:cantSplit/>
          <w:trHeight w:val="203"/>
        </w:trPr>
        <w:tc>
          <w:tcPr>
            <w:tcW w:w="2834" w:type="dxa"/>
            <w:vMerge/>
            <w:shd w:val="clear" w:color="auto" w:fill="auto"/>
          </w:tcPr>
          <w:p w14:paraId="001DEDA1" w14:textId="77777777" w:rsidR="00A87E4F" w:rsidRPr="00E54EE8" w:rsidRDefault="00A87E4F" w:rsidP="00CD7A8D">
            <w:pPr>
              <w:rPr>
                <w:rFonts w:ascii="Century Gothic" w:hAnsi="Century Gothic"/>
                <w:color w:val="auto"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731F163" w14:textId="77777777" w:rsidR="00A87E4F" w:rsidRPr="00E54EE8" w:rsidRDefault="00A87E4F" w:rsidP="00CD7A8D">
            <w:pPr>
              <w:pStyle w:val="ECVOrganisationDetails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Sostenuto dal Dr. Gaetano Tammaro a Bologna</w:t>
            </w:r>
          </w:p>
        </w:tc>
      </w:tr>
      <w:tr w:rsidR="009473F5" w:rsidRPr="00E54EE8" w14:paraId="59511C57" w14:textId="77777777" w:rsidTr="00CD7A8D">
        <w:trPr>
          <w:cantSplit/>
          <w:trHeight w:val="776"/>
        </w:trPr>
        <w:tc>
          <w:tcPr>
            <w:tcW w:w="2834" w:type="dxa"/>
            <w:shd w:val="clear" w:color="auto" w:fill="auto"/>
          </w:tcPr>
          <w:p w14:paraId="717D6BB9" w14:textId="77777777" w:rsidR="00A87E4F" w:rsidRPr="00E54EE8" w:rsidRDefault="00A87E4F" w:rsidP="00CD7A8D">
            <w:pPr>
              <w:ind w:left="709"/>
              <w:jc w:val="center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8"/>
                <w:lang w:val="it-IT"/>
              </w:rPr>
              <w:lastRenderedPageBreak/>
              <w:t>16 febbraio 2012</w:t>
            </w:r>
          </w:p>
        </w:tc>
        <w:tc>
          <w:tcPr>
            <w:tcW w:w="7542" w:type="dxa"/>
            <w:gridSpan w:val="2"/>
            <w:shd w:val="clear" w:color="auto" w:fill="auto"/>
          </w:tcPr>
          <w:p w14:paraId="739A7FAE" w14:textId="77777777" w:rsidR="00A87E4F" w:rsidRPr="00E54EE8" w:rsidRDefault="00A87E4F" w:rsidP="00CD7A8D">
            <w:pPr>
              <w:pStyle w:val="ECVOrganisationDetails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Abilitazione all’esercizio della pr</w:t>
            </w:r>
            <w:r w:rsidR="00CD7A8D"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o</w:t>
            </w: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fessione medica, II sessione del 2011</w:t>
            </w:r>
          </w:p>
          <w:p w14:paraId="09213093" w14:textId="77777777" w:rsidR="00CD7A8D" w:rsidRPr="00E54EE8" w:rsidRDefault="00A87E4F" w:rsidP="00CD7A8D">
            <w:pPr>
              <w:pStyle w:val="ECVOrganisationDetails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Università Politecnica delle Marche</w:t>
            </w:r>
          </w:p>
        </w:tc>
      </w:tr>
      <w:tr w:rsidR="009473F5" w:rsidRPr="00857656" w14:paraId="1295A1CF" w14:textId="77777777" w:rsidTr="00CD7A8D">
        <w:trPr>
          <w:cantSplit/>
          <w:trHeight w:val="653"/>
        </w:trPr>
        <w:tc>
          <w:tcPr>
            <w:tcW w:w="2834" w:type="dxa"/>
            <w:shd w:val="clear" w:color="auto" w:fill="auto"/>
          </w:tcPr>
          <w:p w14:paraId="17B92481" w14:textId="77777777" w:rsidR="00CD7A8D" w:rsidRPr="00E54EE8" w:rsidRDefault="00CD7A8D" w:rsidP="00CD7A8D">
            <w:pPr>
              <w:ind w:left="709"/>
              <w:jc w:val="center"/>
              <w:rPr>
                <w:rFonts w:ascii="Century Gothic" w:hAnsi="Century Gothic"/>
                <w:color w:val="auto"/>
                <w:sz w:val="18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8"/>
                <w:lang w:val="it-IT"/>
              </w:rPr>
              <w:t>25 ottobre 2011</w:t>
            </w:r>
          </w:p>
        </w:tc>
        <w:tc>
          <w:tcPr>
            <w:tcW w:w="7542" w:type="dxa"/>
            <w:gridSpan w:val="2"/>
            <w:shd w:val="clear" w:color="auto" w:fill="auto"/>
          </w:tcPr>
          <w:p w14:paraId="34BA15BF" w14:textId="77777777" w:rsidR="00CD7A8D" w:rsidRPr="00E54EE8" w:rsidRDefault="00CD7A8D" w:rsidP="00CD7A8D">
            <w:pPr>
              <w:pStyle w:val="ECVOrganisationDetails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Laurea in Medicina e Chirurgia  (110/110 e Lode ed Encomio speciale)</w:t>
            </w:r>
          </w:p>
          <w:p w14:paraId="61E112A8" w14:textId="77777777" w:rsidR="00CD7A8D" w:rsidRPr="00E54EE8" w:rsidRDefault="00CD7A8D" w:rsidP="00A81CDB">
            <w:pPr>
              <w:pStyle w:val="ECVOrganisationDetails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Università Politecnica delle Marche</w:t>
            </w:r>
            <w:r w:rsidR="00A81CDB" w:rsidRPr="00E54EE8">
              <w:rPr>
                <w:rFonts w:ascii="Century Gothic" w:hAnsi="Century Gothic"/>
                <w:noProof/>
                <w:color w:val="auto"/>
                <w:lang w:val="it-IT"/>
              </w:rPr>
              <w:t>, tesi: “</w:t>
            </w:r>
            <w:r w:rsidR="00A81CDB" w:rsidRPr="00E54EE8">
              <w:rPr>
                <w:rFonts w:ascii="Century Gothic" w:hAnsi="Century Gothic"/>
                <w:bCs/>
                <w:noProof/>
                <w:color w:val="auto"/>
                <w:sz w:val="16"/>
                <w:szCs w:val="16"/>
                <w:lang w:val="it-IT"/>
              </w:rPr>
              <w:t>Il carcinoma anaplastico della tiroide neoplasia rara dal trattamento multimodale: nostra esperienza”.</w:t>
            </w:r>
          </w:p>
        </w:tc>
      </w:tr>
      <w:tr w:rsidR="009473F5" w:rsidRPr="00E54EE8" w14:paraId="690FE84F" w14:textId="77777777" w:rsidTr="00CD7A8D">
        <w:trPr>
          <w:cantSplit/>
          <w:trHeight w:val="653"/>
        </w:trPr>
        <w:tc>
          <w:tcPr>
            <w:tcW w:w="2834" w:type="dxa"/>
            <w:shd w:val="clear" w:color="auto" w:fill="auto"/>
          </w:tcPr>
          <w:p w14:paraId="116D2F76" w14:textId="77777777" w:rsidR="00CD7A8D" w:rsidRPr="00E54EE8" w:rsidRDefault="00CD7A8D" w:rsidP="00CD7A8D">
            <w:pPr>
              <w:ind w:left="709"/>
              <w:jc w:val="center"/>
              <w:rPr>
                <w:rFonts w:ascii="Century Gothic" w:hAnsi="Century Gothic"/>
                <w:color w:val="auto"/>
                <w:sz w:val="18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8"/>
                <w:lang w:val="it-IT"/>
              </w:rPr>
              <w:t>Luglio 2005</w:t>
            </w:r>
          </w:p>
        </w:tc>
        <w:tc>
          <w:tcPr>
            <w:tcW w:w="7542" w:type="dxa"/>
            <w:gridSpan w:val="2"/>
            <w:shd w:val="clear" w:color="auto" w:fill="auto"/>
          </w:tcPr>
          <w:p w14:paraId="24C26A41" w14:textId="77777777" w:rsidR="00CD7A8D" w:rsidRPr="00E54EE8" w:rsidRDefault="00CD7A8D" w:rsidP="00CD7A8D">
            <w:pPr>
              <w:pStyle w:val="ECVOrganisationDetails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  <w:t>Maturità scientifica conseguita a pieni voti</w:t>
            </w:r>
          </w:p>
          <w:p w14:paraId="517315C8" w14:textId="77777777" w:rsidR="00CD7A8D" w:rsidRPr="00E54EE8" w:rsidRDefault="00CD7A8D" w:rsidP="00462EAA">
            <w:pPr>
              <w:pStyle w:val="ECVOrganisationDetails"/>
              <w:spacing w:before="0" w:line="240" w:lineRule="auto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Liceo scientifico Temistocle Calzecchi Onesti, </w:t>
            </w:r>
          </w:p>
          <w:p w14:paraId="47176F26" w14:textId="77777777" w:rsidR="00CD7A8D" w:rsidRPr="00E54EE8" w:rsidRDefault="00CD7A8D" w:rsidP="00462EAA">
            <w:pPr>
              <w:pStyle w:val="ECVOrganisationDetails"/>
              <w:spacing w:before="0" w:line="240" w:lineRule="auto"/>
              <w:rPr>
                <w:rFonts w:ascii="Century Gothic" w:hAnsi="Century Gothic"/>
                <w:noProof/>
                <w:color w:val="auto"/>
                <w:sz w:val="22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via dei Mille, 63023, Fermo</w:t>
            </w:r>
          </w:p>
        </w:tc>
      </w:tr>
    </w:tbl>
    <w:p w14:paraId="225000EF" w14:textId="77777777" w:rsidR="002A00A2" w:rsidRPr="00E54EE8" w:rsidRDefault="002A00A2">
      <w:pPr>
        <w:pStyle w:val="ECVText"/>
        <w:rPr>
          <w:rFonts w:ascii="Century Gothic" w:hAnsi="Century Gothic"/>
          <w:color w:val="auto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473F5" w:rsidRPr="00857656" w14:paraId="682D03F5" w14:textId="77777777" w:rsidTr="00A8275A">
        <w:trPr>
          <w:trHeight w:val="170"/>
        </w:trPr>
        <w:tc>
          <w:tcPr>
            <w:tcW w:w="2835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9473F5" w:rsidRPr="00857656" w14:paraId="3F09FD15" w14:textId="77777777" w:rsidTr="00A8275A">
              <w:trPr>
                <w:cantSplit/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14:paraId="72408951" w14:textId="77777777" w:rsidR="00E719B8" w:rsidRPr="00E54EE8" w:rsidRDefault="00E719B8" w:rsidP="00A8275A">
                  <w:pPr>
                    <w:pStyle w:val="ECVLeftHeading"/>
                    <w:rPr>
                      <w:rFonts w:ascii="Century Gothic" w:hAnsi="Century Gothic"/>
                      <w:b/>
                      <w:noProof/>
                      <w:color w:val="auto"/>
                      <w:lang w:val="it-IT"/>
                    </w:rPr>
                  </w:pPr>
                  <w:r w:rsidRPr="00E54EE8">
                    <w:rPr>
                      <w:rFonts w:ascii="Century Gothic" w:hAnsi="Century Gothic"/>
                      <w:b/>
                      <w:caps w:val="0"/>
                      <w:noProof/>
                      <w:color w:val="auto"/>
                      <w:lang w:val="it-IT"/>
                    </w:rPr>
                    <w:t>ULTERIORI INFORMAZIONI</w:t>
                  </w: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30E0E6FB" w14:textId="77777777" w:rsidR="00E719B8" w:rsidRPr="00E54EE8" w:rsidRDefault="00E719B8" w:rsidP="00A8275A">
                  <w:pPr>
                    <w:pStyle w:val="ECVBlueBox"/>
                    <w:rPr>
                      <w:rFonts w:ascii="Century Gothic" w:hAnsi="Century Gothic"/>
                      <w:noProof/>
                      <w:color w:val="auto"/>
                      <w:lang w:val="it-IT"/>
                    </w:rPr>
                  </w:pPr>
                  <w:r w:rsidRPr="00E54EE8">
                    <w:rPr>
                      <w:rFonts w:ascii="Century Gothic" w:hAnsi="Century Gothic"/>
                      <w:noProof/>
                      <w:color w:val="auto"/>
                      <w:lang w:val="it-IT"/>
                    </w:rPr>
                    <w:t xml:space="preserve"> </w:t>
                  </w:r>
                </w:p>
              </w:tc>
            </w:tr>
          </w:tbl>
          <w:p w14:paraId="7D3ED68F" w14:textId="77777777" w:rsidR="009473F5" w:rsidRPr="00E54EE8" w:rsidRDefault="009473F5" w:rsidP="009473F5">
            <w:pPr>
              <w:pStyle w:val="ECVLeftDetails"/>
              <w:rPr>
                <w:rFonts w:ascii="Century Gothic" w:hAnsi="Century Gothic"/>
                <w:noProof/>
                <w:color w:val="auto"/>
                <w:lang w:val="it-IT"/>
              </w:rPr>
            </w:pPr>
          </w:p>
          <w:p w14:paraId="6EBA142C" w14:textId="77777777" w:rsidR="009473F5" w:rsidRPr="00E54EE8" w:rsidRDefault="009473F5" w:rsidP="009473F5">
            <w:pPr>
              <w:pStyle w:val="ECVLeftDetails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Corsi e congressi</w:t>
            </w:r>
          </w:p>
          <w:p w14:paraId="73A4CF4C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14B1856E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7958994F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56FE6F6C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7A0568A8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3C8D00D9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08665C94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59FA41C7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70BA48FB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358EAF48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3DE73ECA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6B6098DB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73D502B7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4DD61BBE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29F32C34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70F39B1B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4C92614E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26ABC8FA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2749D7EB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56ED1595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6061CC58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22E9364B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67D4AB6B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64C10F58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5D769D40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2A7B8AE0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608B790F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61B00B70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39B3C378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405EAF21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0B716B58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192FC718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58F59911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60FE079A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0C768467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39C214A6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659EE4BE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1BBA2EF5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50A82FFD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5F45E595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17857BD1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76EBCFF9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4F96757F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5A2674A8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105643F9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587A735C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6CA86A55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14043DE3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01C6DC73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4503D6FB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3F5B45A9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2B8C3325" w14:textId="77777777" w:rsidR="009473F5" w:rsidRPr="00E54EE8" w:rsidRDefault="009473F5" w:rsidP="00A8275A">
            <w:pPr>
              <w:pStyle w:val="ECVText"/>
              <w:rPr>
                <w:rFonts w:ascii="Century Gothic" w:hAnsi="Century Gothic"/>
                <w:color w:val="auto"/>
                <w:lang w:val="it-IT"/>
              </w:rPr>
            </w:pPr>
          </w:p>
          <w:p w14:paraId="3C92E89C" w14:textId="77777777" w:rsidR="00E54EE8" w:rsidRDefault="00E54EE8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6AF27E2A" w14:textId="77777777" w:rsidR="00E54EE8" w:rsidRDefault="00E54EE8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73DEF4C2" w14:textId="77777777" w:rsidR="00E54EE8" w:rsidRDefault="00E54EE8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4B60BF12" w14:textId="77777777" w:rsidR="00E54EE8" w:rsidRDefault="00E54EE8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598EF479" w14:textId="77777777" w:rsidR="00E54EE8" w:rsidRDefault="00E54EE8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5C45A51D" w14:textId="77777777" w:rsidR="00D63AB7" w:rsidRDefault="00D63AB7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76DC3D99" w14:textId="77777777" w:rsidR="00D63AB7" w:rsidRDefault="00D63AB7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7A33FE48" w14:textId="77777777" w:rsidR="00D63AB7" w:rsidRDefault="00D63AB7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37AEF8FB" w14:textId="77777777" w:rsidR="0086172B" w:rsidRDefault="0086172B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4E929385" w14:textId="77777777" w:rsidR="0086172B" w:rsidRDefault="0086172B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68322317" w14:textId="77777777" w:rsidR="0086172B" w:rsidRDefault="0086172B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66791806" w14:textId="77777777" w:rsidR="0086172B" w:rsidRDefault="0086172B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4E9B82E2" w14:textId="77777777" w:rsidR="0086172B" w:rsidRDefault="0086172B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3EF8F6BD" w14:textId="77777777" w:rsidR="0086172B" w:rsidRDefault="0086172B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701E73F1" w14:textId="77777777" w:rsidR="009473F5" w:rsidRPr="00E54EE8" w:rsidRDefault="009473F5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8"/>
                <w:lang w:val="it-IT"/>
              </w:rPr>
              <w:t xml:space="preserve">Appartenenza a </w:t>
            </w:r>
          </w:p>
          <w:p w14:paraId="5B52E919" w14:textId="77777777" w:rsidR="00E719B8" w:rsidRPr="00E54EE8" w:rsidRDefault="009473F5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sz w:val="18"/>
                <w:lang w:val="it-IT"/>
              </w:rPr>
              <w:t>gruppi/associazioni</w:t>
            </w:r>
          </w:p>
          <w:p w14:paraId="16C54A5D" w14:textId="77777777" w:rsidR="009473F5" w:rsidRPr="00E54EE8" w:rsidRDefault="009473F5" w:rsidP="009473F5">
            <w:pPr>
              <w:pStyle w:val="ECVText"/>
              <w:ind w:left="709"/>
              <w:rPr>
                <w:rFonts w:ascii="Century Gothic" w:hAnsi="Century Gothic"/>
                <w:color w:val="auto"/>
                <w:sz w:val="18"/>
                <w:lang w:val="it-IT"/>
              </w:rPr>
            </w:pPr>
          </w:p>
          <w:p w14:paraId="29C282F1" w14:textId="77777777" w:rsidR="009473F5" w:rsidRPr="00E54EE8" w:rsidRDefault="009473F5" w:rsidP="009473F5">
            <w:pPr>
              <w:pStyle w:val="ECVLeftDetails"/>
              <w:jc w:val="center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Pubblicazioni</w:t>
            </w:r>
          </w:p>
          <w:p w14:paraId="26261106" w14:textId="77777777" w:rsidR="009473F5" w:rsidRPr="00E54EE8" w:rsidRDefault="009473F5" w:rsidP="009473F5">
            <w:pPr>
              <w:pStyle w:val="ECVText"/>
              <w:ind w:left="709"/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</w:pPr>
          </w:p>
          <w:p w14:paraId="1D67D2DF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331177A0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4026FAF5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32766DEF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04643701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139ED84A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4FDC47D4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50BC6BA7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677AC520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6BE94632" w14:textId="77777777" w:rsidR="00E54EE8" w:rsidRPr="00E54EE8" w:rsidRDefault="00E54EE8" w:rsidP="00E54EE8">
            <w:pPr>
              <w:pStyle w:val="ECVLeftHeading"/>
              <w:rPr>
                <w:rFonts w:ascii="Century Gothic" w:hAnsi="Century Gothic"/>
                <w:color w:val="auto"/>
                <w:lang w:val="it-IT"/>
              </w:rPr>
            </w:pPr>
            <w:r>
              <w:rPr>
                <w:rFonts w:ascii="Century Gothic" w:hAnsi="Century Gothic"/>
                <w:color w:val="auto"/>
                <w:lang w:val="it-IT"/>
              </w:rPr>
              <w:t xml:space="preserve">             </w:t>
            </w:r>
            <w:r>
              <w:rPr>
                <w:rFonts w:ascii="Century Gothic" w:hAnsi="Century Gothic"/>
                <w:caps w:val="0"/>
                <w:color w:val="auto"/>
                <w:lang w:val="it-IT"/>
              </w:rPr>
              <w:t>R</w:t>
            </w: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iconoscimenti e premi</w:t>
            </w:r>
          </w:p>
          <w:p w14:paraId="6F36E9BE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28B20859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50F70E94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30F73236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164E116B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4BFEFA81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0FDD0F64" w14:textId="77777777" w:rsidR="00E54EE8" w:rsidRPr="00E54EE8" w:rsidRDefault="00E54EE8" w:rsidP="009473F5">
            <w:pPr>
              <w:pStyle w:val="ECVLeftHeading"/>
              <w:jc w:val="left"/>
              <w:rPr>
                <w:rFonts w:ascii="Century Gothic" w:hAnsi="Century Gothic"/>
                <w:caps w:val="0"/>
                <w:color w:val="auto"/>
                <w:lang w:val="it-IT"/>
              </w:rPr>
            </w:pPr>
          </w:p>
          <w:p w14:paraId="2EA431B7" w14:textId="77777777" w:rsidR="00E719B8" w:rsidRPr="00D6738C" w:rsidRDefault="00D6738C" w:rsidP="009473F5">
            <w:pPr>
              <w:pStyle w:val="ECVLeftHeading"/>
              <w:jc w:val="left"/>
              <w:rPr>
                <w:rFonts w:ascii="Century Gothic" w:hAnsi="Century Gothic"/>
                <w:b/>
                <w:color w:val="auto"/>
                <w:lang w:val="it-IT"/>
              </w:rPr>
            </w:pPr>
            <w:r w:rsidRPr="00D6738C">
              <w:rPr>
                <w:rFonts w:ascii="Century Gothic" w:hAnsi="Century Gothic"/>
                <w:b/>
                <w:caps w:val="0"/>
                <w:color w:val="auto"/>
                <w:lang w:val="it-IT"/>
              </w:rPr>
              <w:t xml:space="preserve">CAPACITA’ E </w:t>
            </w:r>
            <w:r w:rsidR="00E719B8" w:rsidRPr="00D6738C">
              <w:rPr>
                <w:rFonts w:ascii="Century Gothic" w:hAnsi="Century Gothic"/>
                <w:b/>
                <w:caps w:val="0"/>
                <w:color w:val="auto"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</w:tcPr>
          <w:p w14:paraId="6C1410C5" w14:textId="77777777" w:rsidR="00D42A82" w:rsidRPr="00E54EE8" w:rsidRDefault="00E719B8" w:rsidP="00D42A82">
            <w:pPr>
              <w:pStyle w:val="ECVSectionBullet"/>
              <w:numPr>
                <w:ilvl w:val="0"/>
                <w:numId w:val="5"/>
              </w:numPr>
              <w:ind w:hanging="1003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lastRenderedPageBreak/>
              <w:t xml:space="preserve">Partecipazione in qualità di </w:t>
            </w:r>
            <w:r w:rsidRPr="00E54EE8">
              <w:rPr>
                <w:rFonts w:ascii="Century Gothic" w:hAnsi="Century Gothic"/>
                <w:noProof/>
                <w:color w:val="auto"/>
                <w:u w:val="single"/>
                <w:lang w:val="it-IT"/>
              </w:rPr>
              <w:t>Docente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</w:t>
            </w:r>
            <w:r w:rsidR="00D42A82" w:rsidRPr="00E54EE8">
              <w:rPr>
                <w:rFonts w:ascii="Century Gothic" w:hAnsi="Century Gothic"/>
                <w:noProof/>
                <w:color w:val="auto"/>
                <w:lang w:val="it-IT"/>
              </w:rPr>
              <w:t>ai seguenti eventi:</w:t>
            </w:r>
          </w:p>
          <w:p w14:paraId="58D446DB" w14:textId="77777777" w:rsidR="00A8275A" w:rsidRPr="00E54EE8" w:rsidRDefault="00A8275A" w:rsidP="00D42A82">
            <w:pPr>
              <w:pStyle w:val="ECVSectionBullet"/>
              <w:numPr>
                <w:ilvl w:val="0"/>
                <w:numId w:val="5"/>
              </w:numPr>
              <w:ind w:hanging="1003"/>
              <w:rPr>
                <w:rFonts w:ascii="Century Gothic" w:hAnsi="Century Gothic"/>
                <w:noProof/>
                <w:color w:val="auto"/>
                <w:lang w:val="it-IT"/>
              </w:rPr>
            </w:pPr>
          </w:p>
          <w:p w14:paraId="62AF31F9" w14:textId="77777777" w:rsidR="00E719B8" w:rsidRPr="00E54EE8" w:rsidRDefault="00E719B8" w:rsidP="00D42A82">
            <w:pPr>
              <w:pStyle w:val="ECVSectionBullet"/>
              <w:numPr>
                <w:ilvl w:val="0"/>
                <w:numId w:val="8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“Corso di aggiornamento in Endocrinologia Interregionale Marche Umbria”,  Montegranaro (FM) 12-13 giugno 2015, relazione: Iodocarenza nelle regioni Marche ed Umbria.</w:t>
            </w:r>
          </w:p>
          <w:p w14:paraId="761D054E" w14:textId="77777777" w:rsidR="00E719B8" w:rsidRPr="00E54EE8" w:rsidRDefault="00E719B8" w:rsidP="00D42A82">
            <w:pPr>
              <w:pStyle w:val="ECVSectionBullet"/>
              <w:numPr>
                <w:ilvl w:val="0"/>
                <w:numId w:val="8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“Convegno congiunto AME-SIE Marche-Umbria: Gli “IPO” in endocrinologia” Foligno  5 marzo 2016, relazione: “Ipotiroidismo in gravidanza: tra screening e trattamento”.</w:t>
            </w:r>
          </w:p>
          <w:p w14:paraId="52617819" w14:textId="77777777" w:rsidR="00E719B8" w:rsidRPr="00E54EE8" w:rsidRDefault="00E719B8" w:rsidP="00D42A82">
            <w:pPr>
              <w:pStyle w:val="ECVSectionBullet"/>
              <w:numPr>
                <w:ilvl w:val="0"/>
                <w:numId w:val="8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“Corso di specializzazione in endocrinologia: esperienze a confronto per la gestione delle malattie ipofisarie”,  Ancona 27/28 Novembre 2017, relazioni: “Immunoterapia ed ipofisiti” e “Gestione pre e postchirurgica: alterazioni idrolettrolitiche”.</w:t>
            </w:r>
          </w:p>
          <w:p w14:paraId="00492D2E" w14:textId="77777777" w:rsidR="00E719B8" w:rsidRPr="00E54EE8" w:rsidRDefault="00E719B8" w:rsidP="00D42A82">
            <w:pPr>
              <w:pStyle w:val="ECVSectionBullet"/>
              <w:numPr>
                <w:ilvl w:val="0"/>
                <w:numId w:val="8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“Corso di specializzazione in endocrinologia: esperienze a confronto per la gestione delle malattie ipofisarie”,  Pisa 22/23 Marzo 2018, relazione: “Diagnosi di ipocortisolismo”.</w:t>
            </w:r>
          </w:p>
          <w:p w14:paraId="1256E5E0" w14:textId="77777777" w:rsidR="00E719B8" w:rsidRPr="00E54EE8" w:rsidRDefault="00E719B8" w:rsidP="00D42A82">
            <w:pPr>
              <w:pStyle w:val="ECVSectionBullet"/>
              <w:numPr>
                <w:ilvl w:val="0"/>
                <w:numId w:val="8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“Monitoraggio e trattamento del diabete mellito, edizione 1 e 2”, Ancona 8, 15, 27 e 29 marzo 2018, 5, 12, 19 e 26 aprile 2018.</w:t>
            </w:r>
          </w:p>
          <w:p w14:paraId="2ABD83A4" w14:textId="77777777" w:rsidR="00E719B8" w:rsidRPr="00E54EE8" w:rsidRDefault="00E719B8" w:rsidP="00D42A82">
            <w:pPr>
              <w:pStyle w:val="ECVSectionBullet"/>
              <w:numPr>
                <w:ilvl w:val="0"/>
                <w:numId w:val="8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“Copeptina. Dal ruolo diagnostico nelle alterazioni del metabolismo idrico al ruolo prognostico nelle malattie sistemiche”, Ancona 30 giugno 2018.</w:t>
            </w:r>
          </w:p>
          <w:p w14:paraId="436FF470" w14:textId="77777777" w:rsidR="00D42A82" w:rsidRDefault="00E719B8" w:rsidP="00D42A82">
            <w:pPr>
              <w:pStyle w:val="ECVSectionBullet"/>
              <w:numPr>
                <w:ilvl w:val="0"/>
                <w:numId w:val="8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“Quale terapia chirurgica nella patologia tiroidea? ”, relazione: Inquadramento clinico e laboratoristico dell’ipo ed ipertiroidismo, Senigallia 29 settembre 2018. </w:t>
            </w:r>
          </w:p>
          <w:p w14:paraId="39015224" w14:textId="77777777" w:rsidR="00D63AB7" w:rsidRDefault="00D63AB7" w:rsidP="00D63AB7">
            <w:pPr>
              <w:pStyle w:val="ECVSectionBullet"/>
              <w:numPr>
                <w:ilvl w:val="0"/>
                <w:numId w:val="8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>
              <w:rPr>
                <w:rFonts w:ascii="Century Gothic" w:hAnsi="Century Gothic"/>
                <w:noProof/>
                <w:color w:val="auto"/>
                <w:lang w:val="it-IT"/>
              </w:rPr>
              <w:t>“Focus su osteoporosi ed endocrinopatie. Osteoporosi secondaria a maalttie endocrino-metaboliche”,relazione: Malattia di Gaucher, un raro caso di osteoporosi metabolica, Ancona 08 marzo 2019.</w:t>
            </w:r>
          </w:p>
          <w:p w14:paraId="02B906AC" w14:textId="77777777" w:rsidR="0086172B" w:rsidRPr="0086172B" w:rsidRDefault="0086172B" w:rsidP="0086172B">
            <w:pPr>
              <w:pStyle w:val="Paragrafoelenco"/>
              <w:numPr>
                <w:ilvl w:val="0"/>
                <w:numId w:val="8"/>
              </w:numPr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</w:pPr>
            <w:r w:rsidRPr="0086172B">
              <w:rPr>
                <w:rFonts w:ascii="Century Gothic" w:hAnsi="Century Gothic"/>
                <w:noProof/>
                <w:color w:val="auto"/>
                <w:sz w:val="18"/>
                <w:lang w:val="it-IT"/>
              </w:rPr>
              <w:t>“VII congresso OSDI Marche: Diabete tipo 1 e Diabete tipo 2: due mondi a confronto”, relazione: Esordio di diabete mellito tipo 2, Ancona 25 maggio 2019.</w:t>
            </w:r>
          </w:p>
          <w:p w14:paraId="0F41B4ED" w14:textId="77777777" w:rsidR="00D42A82" w:rsidRPr="00E54EE8" w:rsidRDefault="00D42A82" w:rsidP="00D42A82">
            <w:pPr>
              <w:pStyle w:val="ECVSectionBullet"/>
              <w:numPr>
                <w:ilvl w:val="0"/>
                <w:numId w:val="5"/>
              </w:numPr>
              <w:ind w:hanging="1003"/>
              <w:rPr>
                <w:rFonts w:ascii="Century Gothic" w:hAnsi="Century Gothic"/>
                <w:noProof/>
                <w:color w:val="auto"/>
                <w:lang w:val="it-IT"/>
              </w:rPr>
            </w:pPr>
          </w:p>
          <w:p w14:paraId="66C6A3AA" w14:textId="77777777" w:rsidR="0054682D" w:rsidRPr="00E54EE8" w:rsidRDefault="0054682D" w:rsidP="00D42A82">
            <w:pPr>
              <w:pStyle w:val="ECVSectionBullet"/>
              <w:numPr>
                <w:ilvl w:val="0"/>
                <w:numId w:val="5"/>
              </w:numPr>
              <w:ind w:hanging="1003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Partec ipazione in qualità di </w:t>
            </w:r>
            <w:r w:rsidR="006B323D" w:rsidRPr="00E54EE8">
              <w:rPr>
                <w:rFonts w:ascii="Century Gothic" w:hAnsi="Century Gothic"/>
                <w:noProof/>
                <w:color w:val="auto"/>
                <w:u w:val="single"/>
                <w:lang w:val="it-IT"/>
              </w:rPr>
              <w:t>D</w:t>
            </w:r>
            <w:r w:rsidRPr="00E54EE8">
              <w:rPr>
                <w:rFonts w:ascii="Century Gothic" w:hAnsi="Century Gothic"/>
                <w:noProof/>
                <w:color w:val="auto"/>
                <w:u w:val="single"/>
                <w:lang w:val="it-IT"/>
              </w:rPr>
              <w:t>iscente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ai seguenti corsi e congressi:</w:t>
            </w:r>
          </w:p>
          <w:p w14:paraId="6D81B11C" w14:textId="77777777" w:rsidR="00A8275A" w:rsidRPr="00E54EE8" w:rsidRDefault="00A8275A" w:rsidP="00D42A82">
            <w:pPr>
              <w:pStyle w:val="ECVSectionBullet"/>
              <w:numPr>
                <w:ilvl w:val="0"/>
                <w:numId w:val="5"/>
              </w:numPr>
              <w:ind w:hanging="1003"/>
              <w:rPr>
                <w:rFonts w:ascii="Century Gothic" w:hAnsi="Century Gothic"/>
                <w:noProof/>
                <w:color w:val="auto"/>
                <w:lang w:val="it-IT"/>
              </w:rPr>
            </w:pPr>
          </w:p>
          <w:p w14:paraId="23745EC8" w14:textId="77777777" w:rsidR="00BE4056" w:rsidRPr="00E54EE8" w:rsidRDefault="00BE4056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“La patologia nodulare e neoplastica tiroidea: innovazioni in campo diagnostico ” Ancona, 19 novembre 2011</w:t>
            </w:r>
          </w:p>
          <w:p w14:paraId="4264EFCE" w14:textId="77777777" w:rsidR="00BE4056" w:rsidRPr="00E54EE8" w:rsidRDefault="00BE4056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“Le iponatriemie: un reale problema clinico?” Ancona, 14 aprile 2012</w:t>
            </w:r>
          </w:p>
          <w:p w14:paraId="355080D0" w14:textId="77777777" w:rsidR="00BE4056" w:rsidRPr="00E54EE8" w:rsidRDefault="00BE4056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13° Congresso nazionale AME, “Update in Endocrinologia clinica” Roma, 7-9 novembre 2014</w:t>
            </w:r>
          </w:p>
          <w:p w14:paraId="6C6A7045" w14:textId="77777777" w:rsidR="00BE4056" w:rsidRPr="00E54EE8" w:rsidRDefault="00BE4056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“I tumori </w:t>
            </w:r>
            <w:r w:rsidR="00337082" w:rsidRPr="00E54EE8">
              <w:rPr>
                <w:rFonts w:ascii="Century Gothic" w:hAnsi="Century Gothic"/>
                <w:noProof/>
                <w:color w:val="auto"/>
                <w:lang w:val="it-IT"/>
              </w:rPr>
              <w:t>neuroendocrini: opinioni a conf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r</w:t>
            </w:r>
            <w:r w:rsidR="00337082" w:rsidRPr="00E54EE8">
              <w:rPr>
                <w:rFonts w:ascii="Century Gothic" w:hAnsi="Century Gothic"/>
                <w:noProof/>
                <w:color w:val="auto"/>
                <w:lang w:val="it-IT"/>
              </w:rPr>
              <w:t>o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nto nella Regione Marche...un anno dopo” Ancona, 10 novembre 2014</w:t>
            </w:r>
          </w:p>
          <w:p w14:paraId="4A61F68F" w14:textId="77777777" w:rsidR="006B323D" w:rsidRPr="00E54EE8" w:rsidRDefault="006B323D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“La patologia endocrinologica nell’età di transizione: un’età di confine” Ancona, 22 novembre 2014</w:t>
            </w:r>
          </w:p>
          <w:p w14:paraId="2B3CB094" w14:textId="77777777" w:rsidR="00BE4056" w:rsidRPr="00E54EE8" w:rsidRDefault="00BE4056" w:rsidP="00BE4056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“Endocrinologia e Metabolismo 2015”, Verona, 11-14 marzo 2015</w:t>
            </w:r>
          </w:p>
          <w:p w14:paraId="524EF56E" w14:textId="77777777" w:rsidR="00BE4056" w:rsidRPr="00E54EE8" w:rsidRDefault="00BE4056" w:rsidP="00BE4056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“La modulazione ormonale da parte degli alimenti”, Ancona, 21 novembre 2015</w:t>
            </w:r>
          </w:p>
          <w:p w14:paraId="3A2A6ABB" w14:textId="77777777" w:rsidR="006B323D" w:rsidRPr="00E54EE8" w:rsidRDefault="006B323D" w:rsidP="00BE4056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“9° congresso Associaizone Italiana della tiroide, XXIII Giornate italiane della tiroide” Udine, 3-5 dicembre 2015</w:t>
            </w:r>
          </w:p>
          <w:p w14:paraId="084D65BF" w14:textId="77777777" w:rsidR="00BE4056" w:rsidRPr="00E54EE8" w:rsidRDefault="00BE4056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</w:t>
            </w:r>
            <w:r w:rsidR="00D42A82" w:rsidRPr="00E54EE8">
              <w:rPr>
                <w:rFonts w:ascii="Century Gothic" w:hAnsi="Century Gothic"/>
                <w:noProof/>
                <w:color w:val="auto"/>
                <w:lang w:val="it-IT"/>
              </w:rPr>
              <w:t>“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VIII Convegno di andrologia e sessuologia medica del Conero, Highlight in Andrologia” Ancona 19 marzo 2016</w:t>
            </w:r>
          </w:p>
          <w:p w14:paraId="1C4513C0" w14:textId="77777777" w:rsidR="00242F55" w:rsidRPr="00E54EE8" w:rsidRDefault="00242F55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“L’innovazione in diabetologia” Fano, 8 ottobre 2016 </w:t>
            </w:r>
          </w:p>
          <w:p w14:paraId="21136B8B" w14:textId="77777777" w:rsidR="00242F55" w:rsidRPr="00E54EE8" w:rsidRDefault="00242F55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“Tecnologie avanzate per la cura del diabete: corso teorico-pratico su microinfusori e monitoraggio continuo della glicemia” Ancona, 25-26 novembre 2016</w:t>
            </w:r>
          </w:p>
          <w:p w14:paraId="01116F38" w14:textId="77777777" w:rsidR="00242F55" w:rsidRPr="00E54EE8" w:rsidRDefault="00242F55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“10° congresso Associazione Italiana della Tiroide” Cagliari, 15-16-17 dicembre 2016</w:t>
            </w:r>
          </w:p>
          <w:p w14:paraId="14E461E8" w14:textId="77777777" w:rsidR="00242F55" w:rsidRPr="00E54EE8" w:rsidRDefault="00242F55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“Diabete e gravidanza. corso teorico-pratico per team diabetologico” Ancona, 1 aprile 2017</w:t>
            </w:r>
          </w:p>
          <w:p w14:paraId="188CBB5B" w14:textId="77777777" w:rsidR="00242F55" w:rsidRPr="00E54EE8" w:rsidRDefault="00242F55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“Prevenzione dei disordini da carenza iodica: il programma nazionale di iodoprofilassi” 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lastRenderedPageBreak/>
              <w:t>Ministero della salute – Lungotevere Ripa, 6 aprile 2017</w:t>
            </w:r>
          </w:p>
          <w:p w14:paraId="69FC4844" w14:textId="77777777" w:rsidR="00242F55" w:rsidRPr="00E54EE8" w:rsidRDefault="00242F55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“La complessità del diabete: proviamo a semplificare”</w:t>
            </w:r>
            <w:r w:rsidR="006B323D"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Bologna, 29-30 giugno 2017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</w:t>
            </w:r>
          </w:p>
          <w:p w14:paraId="0E6D55B9" w14:textId="77777777" w:rsidR="003128FF" w:rsidRPr="00E54EE8" w:rsidRDefault="003128FF" w:rsidP="00D42A82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“Convegno SID-AMD Marche 2017” Ancona, 7 ottobre 2017</w:t>
            </w:r>
          </w:p>
          <w:p w14:paraId="137E637D" w14:textId="77777777" w:rsidR="00242F55" w:rsidRPr="00E54EE8" w:rsidRDefault="003128FF" w:rsidP="00242F55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“X Convegno di andrologia e sessuologia medica del Conero, Highlight in andrologia” Ancona, 10 marzo 2018</w:t>
            </w:r>
            <w:r w:rsidR="00242F55"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</w:t>
            </w:r>
          </w:p>
          <w:p w14:paraId="72BB7E9C" w14:textId="77777777" w:rsidR="00242F55" w:rsidRPr="00E54EE8" w:rsidRDefault="00242F55" w:rsidP="00242F55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“Carcinoma tiroideo: TKI quando e perchè” San Benedetto del Tronto, 23 marzo 2018</w:t>
            </w:r>
          </w:p>
          <w:p w14:paraId="1DF51C76" w14:textId="77777777" w:rsidR="00BE4056" w:rsidRPr="00E54EE8" w:rsidRDefault="00D42A82" w:rsidP="00242F55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“Ghiandolando tra le rarità”</w:t>
            </w:r>
            <w:r w:rsidR="00BE4056"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Ancona, 21 Aprile 2018</w:t>
            </w:r>
          </w:p>
          <w:p w14:paraId="5F51A306" w14:textId="77777777" w:rsidR="00D540ED" w:rsidRPr="00E54EE8" w:rsidRDefault="00242F55" w:rsidP="0054682D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</w:rPr>
            </w:pPr>
            <w:r w:rsidRPr="00E54EE8">
              <w:rPr>
                <w:rFonts w:ascii="Century Gothic" w:hAnsi="Century Gothic"/>
                <w:noProof/>
                <w:color w:val="auto"/>
              </w:rPr>
              <w:t>“Share the experience” Bologna 22-23 giugno 2018</w:t>
            </w:r>
          </w:p>
          <w:p w14:paraId="59E7F3F2" w14:textId="77777777" w:rsidR="0054682D" w:rsidRDefault="00D540ED" w:rsidP="0054682D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“Prevenzione dell’antibiotico resistenza e dele infezioni in ospedale”INRCA POR Ancona, 14 dicembre 2018</w:t>
            </w:r>
          </w:p>
          <w:p w14:paraId="328671CB" w14:textId="77777777" w:rsidR="0086172B" w:rsidRPr="00604D39" w:rsidRDefault="0086172B" w:rsidP="0086172B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604D39">
              <w:rPr>
                <w:rFonts w:ascii="Century Gothic" w:hAnsi="Century Gothic"/>
                <w:noProof/>
                <w:color w:val="auto"/>
                <w:lang w:val="it-IT"/>
              </w:rPr>
              <w:t>“Percorso di formazione sulle tecnologie Medtronic applicate al diabete insulino-trattato” INRCA Ancona 8 febbraio 2019</w:t>
            </w:r>
          </w:p>
          <w:p w14:paraId="6AC83B48" w14:textId="77777777" w:rsidR="0086172B" w:rsidRPr="00604D39" w:rsidRDefault="0086172B" w:rsidP="0086172B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604D39">
              <w:rPr>
                <w:rFonts w:ascii="Century Gothic" w:hAnsi="Century Gothic"/>
                <w:noProof/>
                <w:color w:val="auto"/>
                <w:lang w:val="it-IT"/>
              </w:rPr>
              <w:t>“Il Diabete è uguale per tutti” Ancona, 13 aprile 2019</w:t>
            </w:r>
          </w:p>
          <w:p w14:paraId="1E971E63" w14:textId="77777777" w:rsidR="0086172B" w:rsidRPr="0086172B" w:rsidRDefault="0086172B" w:rsidP="0086172B">
            <w:pPr>
              <w:pStyle w:val="ECVSectionBullet"/>
              <w:numPr>
                <w:ilvl w:val="0"/>
                <w:numId w:val="9"/>
              </w:numPr>
              <w:ind w:left="142" w:hanging="142"/>
              <w:rPr>
                <w:rFonts w:ascii="Century Gothic" w:hAnsi="Century Gothic"/>
                <w:noProof/>
                <w:color w:val="auto"/>
              </w:rPr>
            </w:pPr>
            <w:r w:rsidRPr="0086172B">
              <w:rPr>
                <w:rFonts w:ascii="Century Gothic" w:hAnsi="Century Gothic"/>
                <w:noProof/>
                <w:color w:val="auto"/>
              </w:rPr>
              <w:t>“Sliding doors- Diabetes Outcome/Outcome response” Roma, 10-11 maggio 2019.</w:t>
            </w:r>
          </w:p>
          <w:p w14:paraId="26757EBA" w14:textId="77777777" w:rsidR="0086172B" w:rsidRPr="00604D39" w:rsidRDefault="0086172B" w:rsidP="0086172B">
            <w:pPr>
              <w:pStyle w:val="ECVSectionBullet"/>
              <w:ind w:left="142"/>
              <w:rPr>
                <w:rFonts w:ascii="Century Gothic" w:hAnsi="Century Gothic"/>
                <w:noProof/>
                <w:color w:val="auto"/>
                <w:lang w:val="en-US"/>
              </w:rPr>
            </w:pPr>
          </w:p>
          <w:p w14:paraId="048B7958" w14:textId="77777777" w:rsidR="0054682D" w:rsidRPr="00604D39" w:rsidRDefault="0054682D" w:rsidP="0054682D">
            <w:pPr>
              <w:pStyle w:val="ECVSectionBullet"/>
              <w:rPr>
                <w:rFonts w:ascii="Century Gothic" w:hAnsi="Century Gothic"/>
                <w:noProof/>
                <w:color w:val="auto"/>
                <w:lang w:val="en-US"/>
              </w:rPr>
            </w:pPr>
          </w:p>
          <w:p w14:paraId="75BADB4A" w14:textId="77777777" w:rsidR="00E719B8" w:rsidRPr="00E54EE8" w:rsidRDefault="00E719B8" w:rsidP="00E719B8">
            <w:pPr>
              <w:pStyle w:val="ECVSectionBullet"/>
              <w:numPr>
                <w:ilvl w:val="0"/>
                <w:numId w:val="2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Socia SIE (Società Italiana di Endocrinologia) da marzo 2015</w:t>
            </w:r>
          </w:p>
          <w:p w14:paraId="1C7B9A2D" w14:textId="77777777" w:rsidR="009473F5" w:rsidRPr="00E54EE8" w:rsidRDefault="00E719B8" w:rsidP="00AB676C">
            <w:pPr>
              <w:pStyle w:val="ECVSectionBullet"/>
              <w:numPr>
                <w:ilvl w:val="0"/>
                <w:numId w:val="2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Socia AME (Associazione medici endocrinologi) da aprile 2016</w:t>
            </w:r>
          </w:p>
          <w:p w14:paraId="4CD6603A" w14:textId="77777777" w:rsidR="00A8275A" w:rsidRPr="00E54EE8" w:rsidRDefault="00A8275A" w:rsidP="00A8275A">
            <w:pPr>
              <w:pStyle w:val="ECVSectionBullet"/>
              <w:ind w:left="113"/>
              <w:rPr>
                <w:rFonts w:ascii="Century Gothic" w:hAnsi="Century Gothic"/>
                <w:noProof/>
                <w:color w:val="auto"/>
                <w:lang w:val="it-IT"/>
              </w:rPr>
            </w:pPr>
          </w:p>
          <w:p w14:paraId="57366D88" w14:textId="77777777" w:rsidR="00E719B8" w:rsidRPr="00E54EE8" w:rsidRDefault="007C2B75" w:rsidP="00E719B8">
            <w:pPr>
              <w:pStyle w:val="ECVSectionBullet"/>
              <w:numPr>
                <w:ilvl w:val="0"/>
                <w:numId w:val="2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hyperlink r:id="rId10" w:history="1">
              <w:r w:rsidR="00E719B8" w:rsidRPr="00E54EE8">
                <w:rPr>
                  <w:rStyle w:val="Collegamentoipertestuale"/>
                  <w:rFonts w:ascii="Century Gothic" w:hAnsi="Century Gothic"/>
                  <w:noProof/>
                  <w:color w:val="auto"/>
                  <w:u w:val="none"/>
                </w:rPr>
                <w:t>Risk of Hyponatraemia in Cancer Patients Treated with Targeted Therapies: A Systematic Review and Meta-Analysis of Clinical Trials.</w:t>
              </w:r>
            </w:hyperlink>
            <w:r w:rsidR="00E719B8" w:rsidRPr="00E54EE8">
              <w:rPr>
                <w:rFonts w:ascii="Century Gothic" w:hAnsi="Century Gothic"/>
                <w:noProof/>
                <w:color w:val="auto"/>
              </w:rPr>
              <w:t xml:space="preserve"> </w:t>
            </w:r>
            <w:r w:rsidR="00E719B8" w:rsidRPr="00E54EE8">
              <w:rPr>
                <w:rFonts w:ascii="Century Gothic" w:hAnsi="Century Gothic"/>
                <w:noProof/>
                <w:color w:val="auto"/>
                <w:lang w:val="it-IT"/>
              </w:rPr>
              <w:t>Berardi R, Santoni M, Rinaldi S, Nunzi E, </w:t>
            </w:r>
            <w:r w:rsidR="00E719B8" w:rsidRPr="00E54EE8">
              <w:rPr>
                <w:rFonts w:ascii="Century Gothic" w:hAnsi="Century Gothic"/>
                <w:b/>
                <w:bCs/>
                <w:noProof/>
                <w:color w:val="auto"/>
                <w:lang w:val="it-IT"/>
              </w:rPr>
              <w:t>Smerilli A</w:t>
            </w:r>
            <w:r w:rsidR="00E719B8" w:rsidRPr="00E54EE8">
              <w:rPr>
                <w:rFonts w:ascii="Century Gothic" w:hAnsi="Century Gothic"/>
                <w:noProof/>
                <w:color w:val="auto"/>
                <w:lang w:val="it-IT"/>
              </w:rPr>
              <w:t>, Caramanti M, Morgese F, Torniai M, Savini A, Fiordoliva I, Onofri A, Pistelli M, Taccaliti A, Cascinu S. PLoS One. 2016 May 11;11(5):e0152079. doi: 10.1371/journal.pone.0152079. eCollection 2016 May 11.</w:t>
            </w:r>
          </w:p>
          <w:p w14:paraId="5E14D9CA" w14:textId="77777777" w:rsidR="00A8275A" w:rsidRPr="00E54EE8" w:rsidRDefault="00A8275A" w:rsidP="00A8275A">
            <w:pPr>
              <w:pStyle w:val="ECVSectionBullet"/>
              <w:ind w:left="113"/>
              <w:rPr>
                <w:rFonts w:ascii="Century Gothic" w:hAnsi="Century Gothic"/>
                <w:noProof/>
                <w:color w:val="auto"/>
                <w:lang w:val="it-IT"/>
              </w:rPr>
            </w:pPr>
          </w:p>
          <w:p w14:paraId="60F3FCFD" w14:textId="77777777" w:rsidR="00E719B8" w:rsidRPr="00E54EE8" w:rsidRDefault="00E719B8" w:rsidP="00E719B8">
            <w:pPr>
              <w:pStyle w:val="ECVSectionBullet"/>
              <w:numPr>
                <w:ilvl w:val="0"/>
                <w:numId w:val="2"/>
              </w:numPr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Abstract: </w:t>
            </w:r>
            <w:r w:rsidRPr="00E54EE8"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  <w:t xml:space="preserve">Relazione tra volume tiroideo, sesso, età e stadio puberale nella popolazione adolescente. </w:t>
            </w:r>
          </w:p>
          <w:p w14:paraId="0B3D5140" w14:textId="77777777" w:rsidR="00E719B8" w:rsidRPr="00E54EE8" w:rsidRDefault="00E719B8" w:rsidP="00E719B8">
            <w:pPr>
              <w:pStyle w:val="ECVSectionBullet"/>
              <w:ind w:left="113"/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</w:pPr>
            <w:r w:rsidRPr="00E54EE8"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  <w:t xml:space="preserve">A. </w:t>
            </w:r>
            <w:proofErr w:type="spellStart"/>
            <w:r w:rsidRPr="00E54EE8"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  <w:t>Smerilli</w:t>
            </w:r>
            <w:proofErr w:type="spellEnd"/>
            <w:r w:rsidRPr="00E54EE8"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  <w:t xml:space="preserve">, G. Salvio, L. Tonelli, C. Angeletti, A. </w:t>
            </w:r>
            <w:proofErr w:type="spellStart"/>
            <w:r w:rsidRPr="00E54EE8"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  <w:t>Taccaliti</w:t>
            </w:r>
            <w:proofErr w:type="spellEnd"/>
            <w:r w:rsidRPr="00E54EE8"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  <w:t xml:space="preserve">, 8° Congresso Associazione Nazionale della Tiroide, Milano 27-29 </w:t>
            </w:r>
            <w:proofErr w:type="gramStart"/>
            <w:r w:rsidRPr="00E54EE8"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  <w:t>Novembre</w:t>
            </w:r>
            <w:proofErr w:type="gramEnd"/>
            <w:r w:rsidRPr="00E54EE8"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  <w:t xml:space="preserve"> 2014. </w:t>
            </w:r>
          </w:p>
          <w:p w14:paraId="4A62C7D6" w14:textId="77777777" w:rsidR="00856249" w:rsidRPr="00E54EE8" w:rsidRDefault="00856249" w:rsidP="00E719B8">
            <w:pPr>
              <w:pStyle w:val="ECVSectionBullet"/>
              <w:ind w:left="113"/>
              <w:rPr>
                <w:rStyle w:val="Collegamentoipertestuale"/>
                <w:rFonts w:ascii="Century Gothic" w:hAnsi="Century Gothic"/>
                <w:color w:val="auto"/>
                <w:u w:val="none"/>
                <w:lang w:val="it-IT"/>
              </w:rPr>
            </w:pPr>
          </w:p>
          <w:p w14:paraId="4A993070" w14:textId="77777777" w:rsidR="00D27083" w:rsidRPr="00E54EE8" w:rsidRDefault="00D27083" w:rsidP="00B871D9">
            <w:pPr>
              <w:pStyle w:val="ECVSectionBullet"/>
              <w:numPr>
                <w:ilvl w:val="0"/>
                <w:numId w:val="2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Comunicazione orale: “</w:t>
            </w:r>
            <w:r w:rsidR="004A6523" w:rsidRPr="00E54EE8">
              <w:rPr>
                <w:rFonts w:ascii="Century Gothic" w:hAnsi="Century Gothic"/>
                <w:noProof/>
                <w:color w:val="auto"/>
                <w:lang w:val="it-IT"/>
              </w:rPr>
              <w:t>Sicurezza ed efficacia, a breve e lungo termine, del Tolvaptan nei nostri pazien</w:t>
            </w:r>
            <w:r w:rsidR="00856249" w:rsidRPr="00E54EE8">
              <w:rPr>
                <w:rFonts w:ascii="Century Gothic" w:hAnsi="Century Gothic"/>
                <w:noProof/>
                <w:color w:val="auto"/>
                <w:lang w:val="it-IT"/>
              </w:rPr>
              <w:t>ti affetti da iponatriemia da S</w:t>
            </w:r>
            <w:r w:rsidR="004A6523" w:rsidRPr="00E54EE8">
              <w:rPr>
                <w:rFonts w:ascii="Century Gothic" w:hAnsi="Century Gothic"/>
                <w:noProof/>
                <w:color w:val="auto"/>
                <w:lang w:val="it-IT"/>
              </w:rPr>
              <w:t>I</w:t>
            </w:r>
            <w:r w:rsidR="00856249" w:rsidRPr="00E54EE8">
              <w:rPr>
                <w:rFonts w:ascii="Century Gothic" w:hAnsi="Century Gothic"/>
                <w:noProof/>
                <w:color w:val="auto"/>
                <w:lang w:val="it-IT"/>
              </w:rPr>
              <w:t>A</w:t>
            </w:r>
            <w:r w:rsidR="004A6523" w:rsidRPr="00E54EE8">
              <w:rPr>
                <w:rFonts w:ascii="Century Gothic" w:hAnsi="Century Gothic"/>
                <w:noProof/>
                <w:color w:val="auto"/>
                <w:lang w:val="it-IT"/>
              </w:rPr>
              <w:t>D</w:t>
            </w: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”</w:t>
            </w:r>
            <w:r w:rsidR="004A6523" w:rsidRPr="00E54EE8">
              <w:rPr>
                <w:rFonts w:ascii="Century Gothic" w:hAnsi="Century Gothic"/>
                <w:noProof/>
                <w:color w:val="auto"/>
                <w:lang w:val="it-IT"/>
              </w:rPr>
              <w:t>, A. Smerilli, M. Martino, G. Salvio, A. Taccaliti, G. Arnaldi, IV Congresso Nazionale CLUB SIE Endocrinologia Oncologica, Ferrara 15-16 novembre 2018</w:t>
            </w:r>
            <w:r w:rsidR="00B871D9" w:rsidRPr="00E54EE8">
              <w:rPr>
                <w:rFonts w:ascii="Century Gothic" w:hAnsi="Century Gothic"/>
                <w:noProof/>
                <w:color w:val="auto"/>
                <w:lang w:val="it-IT"/>
              </w:rPr>
              <w:t>.</w:t>
            </w:r>
            <w:r w:rsidR="004A6523" w:rsidRPr="00E54EE8">
              <w:rPr>
                <w:rFonts w:ascii="Century Gothic" w:hAnsi="Century Gothic"/>
                <w:noProof/>
                <w:color w:val="auto"/>
                <w:lang w:val="it-IT"/>
              </w:rPr>
              <w:t xml:space="preserve"> </w:t>
            </w:r>
          </w:p>
          <w:p w14:paraId="71E40E67" w14:textId="77777777" w:rsidR="00E719B8" w:rsidRPr="00E54EE8" w:rsidRDefault="00E719B8" w:rsidP="009473F5">
            <w:pPr>
              <w:pStyle w:val="ECVSectionBullet"/>
              <w:numPr>
                <w:ilvl w:val="0"/>
                <w:numId w:val="2"/>
              </w:numPr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noProof/>
                <w:color w:val="auto"/>
                <w:lang w:val="it-IT"/>
              </w:rPr>
              <w:t>Premio come migliore comunicazione orale al XXII Congresso Nazionale ADI 20-22 ottobre 2016, Vicenza per “Tiroidite di Hashimoto: quale terapia per i pazienti con sindorme da intestino corto?” M. Petrelli, A. Smerilli, V. Baldini, C. Sbaffi, G. Balercia</w:t>
            </w:r>
            <w:r w:rsidR="009473F5" w:rsidRPr="00E54EE8">
              <w:rPr>
                <w:rFonts w:ascii="Century Gothic" w:hAnsi="Century Gothic"/>
                <w:noProof/>
                <w:color w:val="auto"/>
                <w:lang w:val="it-IT"/>
              </w:rPr>
              <w:t>.</w:t>
            </w:r>
          </w:p>
          <w:p w14:paraId="55097DD4" w14:textId="77777777" w:rsidR="009473F5" w:rsidRPr="00E54EE8" w:rsidRDefault="009473F5" w:rsidP="009473F5">
            <w:pPr>
              <w:pStyle w:val="ECVSectionBullet"/>
              <w:ind w:left="113"/>
              <w:rPr>
                <w:rFonts w:ascii="Century Gothic" w:hAnsi="Century Gothic"/>
                <w:noProof/>
                <w:color w:val="auto"/>
                <w:lang w:val="it-IT"/>
              </w:rPr>
            </w:pPr>
          </w:p>
        </w:tc>
      </w:tr>
      <w:tr w:rsidR="009473F5" w:rsidRPr="00857656" w14:paraId="1F323056" w14:textId="77777777" w:rsidTr="00E54EE8">
        <w:trPr>
          <w:trHeight w:val="80"/>
        </w:trPr>
        <w:tc>
          <w:tcPr>
            <w:tcW w:w="2835" w:type="dxa"/>
            <w:shd w:val="clear" w:color="auto" w:fill="auto"/>
          </w:tcPr>
          <w:p w14:paraId="21FDB4F5" w14:textId="77777777" w:rsidR="00E719B8" w:rsidRPr="00E54EE8" w:rsidRDefault="00E719B8" w:rsidP="00E719B8">
            <w:pPr>
              <w:pStyle w:val="ECVLeftHeading"/>
              <w:rPr>
                <w:rFonts w:ascii="Century Gothic" w:hAnsi="Century Gothic"/>
                <w:caps w:val="0"/>
                <w:noProof/>
                <w:color w:val="auto"/>
                <w:lang w:val="it-IT"/>
              </w:rPr>
            </w:pPr>
          </w:p>
        </w:tc>
        <w:tc>
          <w:tcPr>
            <w:tcW w:w="7540" w:type="dxa"/>
            <w:shd w:val="clear" w:color="auto" w:fill="auto"/>
          </w:tcPr>
          <w:p w14:paraId="1D13E483" w14:textId="77777777" w:rsidR="00E719B8" w:rsidRPr="00E54EE8" w:rsidRDefault="00E719B8" w:rsidP="00E719B8">
            <w:pPr>
              <w:pStyle w:val="ECVSectionBullet"/>
              <w:rPr>
                <w:rFonts w:ascii="Century Gothic" w:hAnsi="Century Gothic"/>
                <w:noProof/>
                <w:color w:val="auto"/>
                <w:lang w:val="it-IT"/>
              </w:rPr>
            </w:pPr>
          </w:p>
        </w:tc>
      </w:tr>
    </w:tbl>
    <w:p w14:paraId="6375164D" w14:textId="77777777" w:rsidR="002A00A2" w:rsidRPr="00E54EE8" w:rsidRDefault="002A00A2" w:rsidP="00E54EE8">
      <w:pPr>
        <w:pStyle w:val="ECVComments"/>
        <w:ind w:left="709"/>
        <w:jc w:val="left"/>
        <w:rPr>
          <w:rFonts w:ascii="Century Gothic" w:hAnsi="Century Gothic"/>
          <w:color w:val="auto"/>
          <w:lang w:val="it-IT"/>
        </w:rPr>
      </w:pPr>
    </w:p>
    <w:tbl>
      <w:tblPr>
        <w:tblpPr w:topFromText="6" w:bottomFromText="170" w:vertAnchor="text" w:tblpY="6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543"/>
        <w:gridCol w:w="1498"/>
        <w:gridCol w:w="1499"/>
        <w:gridCol w:w="1500"/>
        <w:gridCol w:w="1615"/>
      </w:tblGrid>
      <w:tr w:rsidR="009473F5" w:rsidRPr="00E54EE8" w14:paraId="7DC8A9E2" w14:textId="77777777" w:rsidTr="00006370">
        <w:trPr>
          <w:cantSplit/>
          <w:trHeight w:val="255"/>
        </w:trPr>
        <w:tc>
          <w:tcPr>
            <w:tcW w:w="2835" w:type="dxa"/>
            <w:shd w:val="clear" w:color="auto" w:fill="auto"/>
          </w:tcPr>
          <w:p w14:paraId="1DE5779E" w14:textId="77777777" w:rsidR="00E54EE8" w:rsidRPr="00E54EE8" w:rsidRDefault="00E54EE8" w:rsidP="00E04A7F">
            <w:pPr>
              <w:pStyle w:val="ECVLeftDetails"/>
              <w:rPr>
                <w:rFonts w:ascii="Century Gothic" w:hAnsi="Century Gothic"/>
                <w:color w:val="auto"/>
                <w:lang w:val="it-IT"/>
              </w:rPr>
            </w:pPr>
          </w:p>
          <w:p w14:paraId="072AB49B" w14:textId="77777777" w:rsidR="002A00A2" w:rsidRPr="00E54EE8" w:rsidRDefault="002A00A2" w:rsidP="00E04A7F">
            <w:pPr>
              <w:pStyle w:val="ECVLeftDetails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Lingua madre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5F475F" w14:textId="77777777" w:rsidR="00E54EE8" w:rsidRPr="00E54EE8" w:rsidRDefault="00E54EE8" w:rsidP="00E04A7F">
            <w:pPr>
              <w:pStyle w:val="ECVSectionDetails"/>
              <w:rPr>
                <w:rFonts w:ascii="Century Gothic" w:hAnsi="Century Gothic"/>
                <w:color w:val="auto"/>
                <w:lang w:val="it-IT"/>
              </w:rPr>
            </w:pPr>
          </w:p>
          <w:p w14:paraId="3E41CFAB" w14:textId="77777777" w:rsidR="002A00A2" w:rsidRPr="00E54EE8" w:rsidRDefault="00006370" w:rsidP="00E04A7F">
            <w:pPr>
              <w:pStyle w:val="ECVSectionDetails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I</w:t>
            </w:r>
            <w:r w:rsidR="00CD7A8D" w:rsidRPr="00E54EE8">
              <w:rPr>
                <w:rFonts w:ascii="Century Gothic" w:hAnsi="Century Gothic"/>
                <w:color w:val="auto"/>
                <w:lang w:val="it-IT"/>
              </w:rPr>
              <w:t>taliana</w:t>
            </w:r>
          </w:p>
        </w:tc>
      </w:tr>
      <w:tr w:rsidR="009473F5" w:rsidRPr="00E54EE8" w14:paraId="21C4D3F7" w14:textId="77777777" w:rsidTr="00006370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162A5058" w14:textId="77777777" w:rsidR="002A00A2" w:rsidRPr="00E54EE8" w:rsidRDefault="002A00A2" w:rsidP="00E04A7F">
            <w:pPr>
              <w:pStyle w:val="ECVLeftHeading"/>
              <w:rPr>
                <w:rFonts w:ascii="Century Gothic" w:hAnsi="Century Gothic"/>
                <w:color w:val="auto"/>
                <w:lang w:val="it-IT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14:paraId="70590294" w14:textId="77777777" w:rsidR="002A00A2" w:rsidRPr="00E54EE8" w:rsidRDefault="002A00A2" w:rsidP="00E04A7F">
            <w:pPr>
              <w:pStyle w:val="ECVRightColumn"/>
              <w:rPr>
                <w:rFonts w:ascii="Century Gothic" w:hAnsi="Century Gothic"/>
                <w:color w:val="auto"/>
                <w:lang w:val="it-IT"/>
              </w:rPr>
            </w:pPr>
          </w:p>
        </w:tc>
      </w:tr>
      <w:tr w:rsidR="009473F5" w:rsidRPr="00E54EE8" w14:paraId="5AE90D94" w14:textId="77777777" w:rsidTr="00006370">
        <w:trPr>
          <w:cantSplit/>
          <w:trHeight w:val="340"/>
        </w:trPr>
        <w:tc>
          <w:tcPr>
            <w:tcW w:w="2835" w:type="dxa"/>
            <w:vMerge w:val="restart"/>
            <w:tcBorders>
              <w:right w:val="single" w:sz="4" w:space="0" w:color="DDD9C3"/>
            </w:tcBorders>
            <w:shd w:val="clear" w:color="auto" w:fill="auto"/>
          </w:tcPr>
          <w:p w14:paraId="1704694C" w14:textId="77777777" w:rsidR="002A00A2" w:rsidRPr="00E54EE8" w:rsidRDefault="002A00A2" w:rsidP="00E04A7F">
            <w:pPr>
              <w:pStyle w:val="ECVLeftDetails"/>
              <w:rPr>
                <w:rFonts w:ascii="Century Gothic" w:hAnsi="Century Gothic"/>
                <w:caps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Altre lingue</w:t>
            </w:r>
          </w:p>
        </w:tc>
        <w:tc>
          <w:tcPr>
            <w:tcW w:w="3041" w:type="dxa"/>
            <w:gridSpan w:val="2"/>
            <w:tcBorders>
              <w:top w:val="single" w:sz="8" w:space="0" w:color="C0C0C0"/>
              <w:left w:val="single" w:sz="4" w:space="0" w:color="DDD9C3"/>
              <w:bottom w:val="single" w:sz="8" w:space="0" w:color="C0C0C0"/>
            </w:tcBorders>
            <w:shd w:val="clear" w:color="auto" w:fill="auto"/>
            <w:vAlign w:val="center"/>
          </w:tcPr>
          <w:p w14:paraId="1F4855CA" w14:textId="77777777" w:rsidR="002A00A2" w:rsidRPr="00E54EE8" w:rsidRDefault="002A00A2" w:rsidP="00E04A7F">
            <w:pPr>
              <w:pStyle w:val="ECVLanguageHeading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50FDD4E" w14:textId="77777777" w:rsidR="002A00A2" w:rsidRPr="00E54EE8" w:rsidRDefault="002A00A2" w:rsidP="00E04A7F">
            <w:pPr>
              <w:pStyle w:val="ECVLanguageHeading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 xml:space="preserve">PARLATO </w:t>
            </w:r>
          </w:p>
        </w:tc>
        <w:tc>
          <w:tcPr>
            <w:tcW w:w="16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3CA9D8A5" w14:textId="77777777" w:rsidR="002A00A2" w:rsidRPr="00E54EE8" w:rsidRDefault="002A00A2" w:rsidP="00E04A7F">
            <w:pPr>
              <w:pStyle w:val="ECVLanguageHeading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 xml:space="preserve">PRODUZIONE SCRITTA </w:t>
            </w:r>
          </w:p>
        </w:tc>
      </w:tr>
      <w:tr w:rsidR="009473F5" w:rsidRPr="00E54EE8" w14:paraId="2F2912F8" w14:textId="77777777" w:rsidTr="00006370">
        <w:trPr>
          <w:cantSplit/>
          <w:trHeight w:val="340"/>
        </w:trPr>
        <w:tc>
          <w:tcPr>
            <w:tcW w:w="2835" w:type="dxa"/>
            <w:vMerge/>
            <w:tcBorders>
              <w:right w:val="single" w:sz="4" w:space="0" w:color="DDD9C3"/>
            </w:tcBorders>
            <w:shd w:val="clear" w:color="auto" w:fill="auto"/>
          </w:tcPr>
          <w:p w14:paraId="39BAC63A" w14:textId="77777777" w:rsidR="002A00A2" w:rsidRPr="00E54EE8" w:rsidRDefault="002A00A2" w:rsidP="00E04A7F">
            <w:pPr>
              <w:rPr>
                <w:rFonts w:ascii="Century Gothic" w:hAnsi="Century Gothic"/>
                <w:color w:val="auto"/>
                <w:lang w:val="it-IT"/>
              </w:rPr>
            </w:pPr>
          </w:p>
        </w:tc>
        <w:tc>
          <w:tcPr>
            <w:tcW w:w="1543" w:type="dxa"/>
            <w:tcBorders>
              <w:left w:val="single" w:sz="4" w:space="0" w:color="DDD9C3"/>
              <w:bottom w:val="single" w:sz="8" w:space="0" w:color="C0C0C0"/>
            </w:tcBorders>
            <w:shd w:val="clear" w:color="auto" w:fill="auto"/>
            <w:vAlign w:val="center"/>
          </w:tcPr>
          <w:p w14:paraId="4D536248" w14:textId="77777777" w:rsidR="002A00A2" w:rsidRPr="00E54EE8" w:rsidRDefault="002A00A2" w:rsidP="00E04A7F">
            <w:pPr>
              <w:pStyle w:val="ECVLanguageSubHeading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12EE3B60" w14:textId="77777777" w:rsidR="002A00A2" w:rsidRPr="00E54EE8" w:rsidRDefault="002A00A2" w:rsidP="00E04A7F">
            <w:pPr>
              <w:pStyle w:val="ECVLanguageSubHeading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4" w:space="0" w:color="DDD9C3"/>
              <w:bottom w:val="single" w:sz="8" w:space="0" w:color="C0C0C0"/>
            </w:tcBorders>
            <w:shd w:val="clear" w:color="auto" w:fill="auto"/>
            <w:vAlign w:val="center"/>
          </w:tcPr>
          <w:p w14:paraId="586895D5" w14:textId="77777777" w:rsidR="002A00A2" w:rsidRPr="00E54EE8" w:rsidRDefault="002A00A2" w:rsidP="00E04A7F">
            <w:pPr>
              <w:pStyle w:val="ECVLanguageSubHeading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F4902EA" w14:textId="77777777" w:rsidR="002A00A2" w:rsidRPr="00E54EE8" w:rsidRDefault="002A00A2" w:rsidP="00E04A7F">
            <w:pPr>
              <w:pStyle w:val="ECVLanguageSubHeading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 xml:space="preserve">Produzione orale </w:t>
            </w:r>
          </w:p>
        </w:tc>
        <w:tc>
          <w:tcPr>
            <w:tcW w:w="1615" w:type="dxa"/>
            <w:tcBorders>
              <w:left w:val="single" w:sz="8" w:space="0" w:color="C0C0C0"/>
              <w:bottom w:val="single" w:sz="8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6F01B27B" w14:textId="77777777" w:rsidR="002A00A2" w:rsidRPr="00E54EE8" w:rsidRDefault="002A00A2" w:rsidP="00E04A7F">
            <w:pPr>
              <w:pStyle w:val="ECVRightColumn"/>
              <w:rPr>
                <w:rFonts w:ascii="Century Gothic" w:hAnsi="Century Gothic"/>
                <w:color w:val="auto"/>
                <w:lang w:val="it-IT"/>
              </w:rPr>
            </w:pPr>
          </w:p>
        </w:tc>
      </w:tr>
      <w:tr w:rsidR="009473F5" w:rsidRPr="00E54EE8" w14:paraId="09A9C7FA" w14:textId="77777777" w:rsidTr="00006370">
        <w:trPr>
          <w:cantSplit/>
          <w:trHeight w:val="283"/>
        </w:trPr>
        <w:tc>
          <w:tcPr>
            <w:tcW w:w="2835" w:type="dxa"/>
            <w:tcBorders>
              <w:right w:val="single" w:sz="4" w:space="0" w:color="DDD9C3"/>
            </w:tcBorders>
            <w:shd w:val="clear" w:color="auto" w:fill="auto"/>
            <w:vAlign w:val="center"/>
          </w:tcPr>
          <w:p w14:paraId="55C9785A" w14:textId="77777777" w:rsidR="002A00A2" w:rsidRPr="00E54EE8" w:rsidRDefault="00C2214C" w:rsidP="00E04A7F">
            <w:pPr>
              <w:pStyle w:val="ECVLanguageName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Inglese</w:t>
            </w:r>
            <w:r w:rsidR="002A00A2" w:rsidRPr="00E54EE8">
              <w:rPr>
                <w:rFonts w:ascii="Century Gothic" w:hAnsi="Century Gothic"/>
                <w:color w:val="auto"/>
                <w:lang w:val="it-IT"/>
              </w:rPr>
              <w:t xml:space="preserve"> </w:t>
            </w:r>
          </w:p>
        </w:tc>
        <w:tc>
          <w:tcPr>
            <w:tcW w:w="1543" w:type="dxa"/>
            <w:tcBorders>
              <w:left w:val="single" w:sz="4" w:space="0" w:color="DDD9C3"/>
              <w:bottom w:val="single" w:sz="4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2D1B00BE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aps w:val="0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B1</w:t>
            </w:r>
          </w:p>
        </w:tc>
        <w:tc>
          <w:tcPr>
            <w:tcW w:w="1498" w:type="dxa"/>
            <w:tcBorders>
              <w:left w:val="single" w:sz="4" w:space="0" w:color="DDD9C3"/>
              <w:bottom w:val="single" w:sz="4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7FF85003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aps w:val="0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B2</w:t>
            </w:r>
          </w:p>
        </w:tc>
        <w:tc>
          <w:tcPr>
            <w:tcW w:w="1499" w:type="dxa"/>
            <w:tcBorders>
              <w:left w:val="single" w:sz="4" w:space="0" w:color="DDD9C3"/>
              <w:bottom w:val="single" w:sz="4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74227EDE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aps w:val="0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B1</w:t>
            </w:r>
          </w:p>
        </w:tc>
        <w:tc>
          <w:tcPr>
            <w:tcW w:w="1500" w:type="dxa"/>
            <w:tcBorders>
              <w:left w:val="single" w:sz="4" w:space="0" w:color="DDD9C3"/>
              <w:bottom w:val="single" w:sz="4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6A6A0D8C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aps w:val="0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B1</w:t>
            </w:r>
          </w:p>
        </w:tc>
        <w:tc>
          <w:tcPr>
            <w:tcW w:w="1615" w:type="dxa"/>
            <w:tcBorders>
              <w:left w:val="single" w:sz="4" w:space="0" w:color="DDD9C3"/>
              <w:bottom w:val="single" w:sz="4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01969A4A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B2</w:t>
            </w:r>
          </w:p>
        </w:tc>
      </w:tr>
      <w:tr w:rsidR="009473F5" w:rsidRPr="00E54EE8" w14:paraId="487B6A7D" w14:textId="77777777" w:rsidTr="00006370">
        <w:trPr>
          <w:cantSplit/>
          <w:trHeight w:val="283"/>
        </w:trPr>
        <w:tc>
          <w:tcPr>
            <w:tcW w:w="2835" w:type="dxa"/>
            <w:tcBorders>
              <w:right w:val="single" w:sz="4" w:space="0" w:color="DDD9C3"/>
            </w:tcBorders>
            <w:shd w:val="clear" w:color="auto" w:fill="auto"/>
            <w:vAlign w:val="center"/>
          </w:tcPr>
          <w:p w14:paraId="5169730C" w14:textId="77777777" w:rsidR="002A00A2" w:rsidRPr="00E54EE8" w:rsidRDefault="00C2214C" w:rsidP="00E04A7F">
            <w:pPr>
              <w:pStyle w:val="ECVLanguageName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Francese</w:t>
            </w:r>
            <w:r w:rsidR="002A00A2" w:rsidRPr="00E54EE8">
              <w:rPr>
                <w:rFonts w:ascii="Century Gothic" w:hAnsi="Century Gothic"/>
                <w:color w:val="auto"/>
                <w:lang w:val="it-IT"/>
              </w:rPr>
              <w:t xml:space="preserve"> </w:t>
            </w:r>
          </w:p>
        </w:tc>
        <w:tc>
          <w:tcPr>
            <w:tcW w:w="1543" w:type="dxa"/>
            <w:tcBorders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vAlign w:val="center"/>
          </w:tcPr>
          <w:p w14:paraId="556F85A9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aps w:val="0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A1</w:t>
            </w:r>
          </w:p>
        </w:tc>
        <w:tc>
          <w:tcPr>
            <w:tcW w:w="1498" w:type="dxa"/>
            <w:tcBorders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vAlign w:val="center"/>
          </w:tcPr>
          <w:p w14:paraId="326794F0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aps w:val="0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A2</w:t>
            </w:r>
          </w:p>
        </w:tc>
        <w:tc>
          <w:tcPr>
            <w:tcW w:w="1499" w:type="dxa"/>
            <w:tcBorders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vAlign w:val="center"/>
          </w:tcPr>
          <w:p w14:paraId="4AC98E48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aps w:val="0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A1</w:t>
            </w:r>
          </w:p>
        </w:tc>
        <w:tc>
          <w:tcPr>
            <w:tcW w:w="1500" w:type="dxa"/>
            <w:tcBorders>
              <w:left w:val="single" w:sz="4" w:space="0" w:color="DDD9C3"/>
              <w:bottom w:val="single" w:sz="4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31644ADB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aps w:val="0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A1</w:t>
            </w:r>
          </w:p>
        </w:tc>
        <w:tc>
          <w:tcPr>
            <w:tcW w:w="1615" w:type="dxa"/>
            <w:tcBorders>
              <w:left w:val="single" w:sz="4" w:space="0" w:color="DDD9C3"/>
              <w:bottom w:val="single" w:sz="4" w:space="0" w:color="C0C0C0"/>
              <w:right w:val="single" w:sz="4" w:space="0" w:color="DDD9C3"/>
            </w:tcBorders>
            <w:shd w:val="clear" w:color="auto" w:fill="auto"/>
            <w:vAlign w:val="center"/>
          </w:tcPr>
          <w:p w14:paraId="6F988035" w14:textId="77777777" w:rsidR="002A00A2" w:rsidRPr="00E54EE8" w:rsidRDefault="00C2214C" w:rsidP="00E04A7F">
            <w:pPr>
              <w:pStyle w:val="ECVLanguageLevel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aps w:val="0"/>
                <w:color w:val="auto"/>
                <w:lang w:val="it-IT"/>
              </w:rPr>
              <w:t>A1</w:t>
            </w:r>
          </w:p>
        </w:tc>
      </w:tr>
    </w:tbl>
    <w:p w14:paraId="41B1135A" w14:textId="77777777" w:rsidR="002A00A2" w:rsidRPr="00E54EE8" w:rsidRDefault="002A00A2">
      <w:pPr>
        <w:rPr>
          <w:rFonts w:ascii="Century Gothic" w:hAnsi="Century Gothic"/>
          <w:color w:val="auto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473F5" w:rsidRPr="00857656" w14:paraId="770C654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1404AA6" w14:textId="77777777" w:rsidR="002A00A2" w:rsidRPr="00E54EE8" w:rsidRDefault="002A00A2">
            <w:pPr>
              <w:pStyle w:val="ECVLeftDetails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5A7C8BCF" w14:textId="77777777" w:rsidR="002A00A2" w:rsidRPr="00E54EE8" w:rsidRDefault="002A00A2" w:rsidP="00C2214C">
            <w:pPr>
              <w:pStyle w:val="ECVSectionBullet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 xml:space="preserve">buone competenze comunicative acquisite durante la mia esperienza di </w:t>
            </w:r>
            <w:r w:rsidR="00C2214C" w:rsidRPr="00E54EE8">
              <w:rPr>
                <w:rFonts w:ascii="Century Gothic" w:hAnsi="Century Gothic"/>
                <w:color w:val="auto"/>
                <w:lang w:val="it-IT"/>
              </w:rPr>
              <w:t>medico di continuità assistenziale, sostituto di medico di medicina generale, medico specialista in endocrinologia.</w:t>
            </w:r>
          </w:p>
        </w:tc>
      </w:tr>
    </w:tbl>
    <w:p w14:paraId="31974AC3" w14:textId="77777777" w:rsidR="002A00A2" w:rsidRPr="00E54EE8" w:rsidRDefault="002A00A2">
      <w:pPr>
        <w:pStyle w:val="ECVText"/>
        <w:rPr>
          <w:rFonts w:ascii="Century Gothic" w:hAnsi="Century Gothic"/>
          <w:color w:val="auto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473F5" w:rsidRPr="00857656" w14:paraId="72BB1F8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41BE433" w14:textId="77777777" w:rsidR="002A00A2" w:rsidRPr="00E54EE8" w:rsidRDefault="002A00A2">
            <w:pPr>
              <w:pStyle w:val="ECVLeftDetails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D0E2557" w14:textId="77777777" w:rsidR="002A00A2" w:rsidRPr="00E54EE8" w:rsidRDefault="00C2214C">
            <w:pPr>
              <w:pStyle w:val="ECVSectionDetails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Gestione ambulatorio endocrinologico, diabetologico e delle ecografie tiroidee.</w:t>
            </w:r>
          </w:p>
        </w:tc>
      </w:tr>
    </w:tbl>
    <w:p w14:paraId="0FB60665" w14:textId="77777777" w:rsidR="002A00A2" w:rsidRPr="00E54EE8" w:rsidRDefault="002A00A2">
      <w:pPr>
        <w:pStyle w:val="ECVText"/>
        <w:rPr>
          <w:rFonts w:ascii="Century Gothic" w:hAnsi="Century Gothic"/>
          <w:color w:val="auto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473F5" w:rsidRPr="00857656" w14:paraId="59EC2B4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51FFD93" w14:textId="77777777" w:rsidR="002A00A2" w:rsidRPr="00E54EE8" w:rsidRDefault="002A00A2">
            <w:pPr>
              <w:pStyle w:val="ECVLeftDetails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474FC2AC" w14:textId="77777777" w:rsidR="002A00A2" w:rsidRPr="00E54EE8" w:rsidRDefault="00C2214C" w:rsidP="00C2214C">
            <w:pPr>
              <w:pStyle w:val="ECVSectionBullet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Ecografie tiroidee, guida ecografica durante esame agoaspirato tiroideo</w:t>
            </w:r>
            <w:r w:rsidR="00CE318D" w:rsidRPr="00E54EE8">
              <w:rPr>
                <w:rFonts w:ascii="Century Gothic" w:hAnsi="Century Gothic"/>
                <w:color w:val="auto"/>
                <w:lang w:val="it-IT"/>
              </w:rPr>
              <w:t>.</w:t>
            </w:r>
          </w:p>
        </w:tc>
      </w:tr>
    </w:tbl>
    <w:p w14:paraId="54445698" w14:textId="77777777" w:rsidR="002A00A2" w:rsidRPr="00E54EE8" w:rsidRDefault="002A00A2">
      <w:pPr>
        <w:pStyle w:val="ECVText"/>
        <w:rPr>
          <w:rFonts w:ascii="Century Gothic" w:hAnsi="Century Gothic"/>
          <w:color w:val="auto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473F5" w:rsidRPr="00857656" w14:paraId="61F658B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CBAFA55" w14:textId="77777777" w:rsidR="002A00A2" w:rsidRPr="00E54EE8" w:rsidRDefault="002A00A2">
            <w:pPr>
              <w:pStyle w:val="ECVLeftDetails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14:paraId="0C22650D" w14:textId="77777777" w:rsidR="002A00A2" w:rsidRPr="00E54EE8" w:rsidRDefault="00C2214C" w:rsidP="00C2214C">
            <w:pPr>
              <w:pStyle w:val="ECVSectionBullet"/>
              <w:rPr>
                <w:rFonts w:ascii="Century Gothic" w:hAnsi="Century Gothic"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B</w:t>
            </w:r>
            <w:r w:rsidR="002A00A2" w:rsidRPr="00E54EE8">
              <w:rPr>
                <w:rFonts w:ascii="Century Gothic" w:hAnsi="Century Gothic"/>
                <w:color w:val="auto"/>
                <w:lang w:val="it-IT"/>
              </w:rPr>
              <w:t>uona padronanza degli strumenti Microsoft Office</w:t>
            </w:r>
          </w:p>
          <w:p w14:paraId="1E8B52DB" w14:textId="77777777" w:rsidR="00533FA9" w:rsidRPr="00E54EE8" w:rsidRDefault="00533FA9" w:rsidP="00C2214C">
            <w:pPr>
              <w:pStyle w:val="ECVSectionBullet"/>
              <w:rPr>
                <w:rFonts w:ascii="Century Gothic" w:hAnsi="Century Gothic"/>
                <w:color w:val="auto"/>
                <w:lang w:val="it-IT"/>
              </w:rPr>
            </w:pPr>
          </w:p>
        </w:tc>
      </w:tr>
      <w:tr w:rsidR="009473F5" w:rsidRPr="00E54EE8" w14:paraId="679B38EE" w14:textId="77777777" w:rsidTr="00061D2F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2B5AD42" w14:textId="77777777" w:rsidR="001F4719" w:rsidRPr="00E54EE8" w:rsidRDefault="00D6738C" w:rsidP="00D6738C">
            <w:pPr>
              <w:widowControl/>
              <w:suppressAutoHyphens w:val="0"/>
              <w:rPr>
                <w:rFonts w:ascii="Century Gothic" w:hAnsi="Century Gothic"/>
                <w:noProof/>
                <w:color w:val="auto"/>
                <w:lang w:val="it-IT"/>
              </w:rPr>
            </w:pPr>
            <w:r>
              <w:rPr>
                <w:rFonts w:ascii="Century Gothic" w:hAnsi="Century Gothic"/>
                <w:color w:val="auto"/>
                <w:sz w:val="18"/>
                <w:lang w:val="it-IT"/>
              </w:rPr>
              <w:t xml:space="preserve">                         </w:t>
            </w:r>
            <w:r w:rsidR="00533FA9" w:rsidRPr="00E54EE8">
              <w:rPr>
                <w:rFonts w:ascii="Century Gothic" w:hAnsi="Century Gothic"/>
                <w:color w:val="auto"/>
                <w:sz w:val="18"/>
                <w:lang w:val="it-IT"/>
              </w:rPr>
              <w:t>Patente di guida</w:t>
            </w:r>
            <w:r>
              <w:rPr>
                <w:rFonts w:ascii="Century Gothic" w:hAnsi="Century Gothic"/>
                <w:color w:val="auto"/>
                <w:sz w:val="18"/>
                <w:lang w:val="it-IT"/>
              </w:rPr>
              <w:t xml:space="preserve">     </w:t>
            </w:r>
            <w:r w:rsidR="00533FA9" w:rsidRPr="00E54EE8">
              <w:rPr>
                <w:rFonts w:ascii="Century Gothic" w:hAnsi="Century Gothic"/>
                <w:color w:val="auto"/>
                <w:sz w:val="18"/>
                <w:lang w:val="it-IT"/>
              </w:rPr>
              <w:t xml:space="preserve">       </w:t>
            </w:r>
          </w:p>
        </w:tc>
        <w:tc>
          <w:tcPr>
            <w:tcW w:w="7542" w:type="dxa"/>
            <w:shd w:val="clear" w:color="auto" w:fill="auto"/>
          </w:tcPr>
          <w:p w14:paraId="4EC49BD6" w14:textId="77777777" w:rsidR="001F4719" w:rsidRPr="00E54EE8" w:rsidRDefault="00533FA9" w:rsidP="00061D2F">
            <w:pPr>
              <w:pStyle w:val="ECVSectionBullet"/>
              <w:rPr>
                <w:rFonts w:ascii="Century Gothic" w:hAnsi="Century Gothic"/>
                <w:noProof/>
                <w:color w:val="auto"/>
                <w:lang w:val="it-IT"/>
              </w:rPr>
            </w:pPr>
            <w:r w:rsidRPr="00E54EE8">
              <w:rPr>
                <w:rFonts w:ascii="Century Gothic" w:hAnsi="Century Gothic"/>
                <w:color w:val="auto"/>
                <w:lang w:val="it-IT"/>
              </w:rPr>
              <w:t>Automobilistica B</w:t>
            </w:r>
          </w:p>
        </w:tc>
      </w:tr>
    </w:tbl>
    <w:p w14:paraId="48E3FAA5" w14:textId="77777777" w:rsidR="00CE318D" w:rsidRPr="00E54EE8" w:rsidRDefault="00CE318D" w:rsidP="00CE318D">
      <w:pPr>
        <w:rPr>
          <w:rFonts w:ascii="Century Gothic" w:hAnsi="Century Gothic"/>
          <w:noProof/>
          <w:color w:val="auto"/>
          <w:sz w:val="24"/>
          <w:szCs w:val="18"/>
          <w:lang w:val="it-IT"/>
        </w:rPr>
      </w:pPr>
    </w:p>
    <w:sectPr w:rsidR="00CE318D" w:rsidRPr="00E54EE8" w:rsidSect="0059096F">
      <w:headerReference w:type="even" r:id="rId11"/>
      <w:footerReference w:type="even" r:id="rId12"/>
      <w:footerReference w:type="default" r:id="rId13"/>
      <w:pgSz w:w="11906" w:h="16838" w:code="9"/>
      <w:pgMar w:top="1644" w:right="680" w:bottom="1474" w:left="851" w:header="227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B8116" w14:textId="77777777" w:rsidR="00897071" w:rsidRDefault="00897071">
      <w:r>
        <w:separator/>
      </w:r>
    </w:p>
  </w:endnote>
  <w:endnote w:type="continuationSeparator" w:id="0">
    <w:p w14:paraId="690F7F45" w14:textId="77777777" w:rsidR="00897071" w:rsidRDefault="008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7EF03" w14:textId="77777777"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="002C0F78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 w:rsidR="002C0F78">
      <w:rPr>
        <w:rFonts w:eastAsia="ArialMT" w:cs="ArialMT"/>
        <w:sz w:val="14"/>
        <w:szCs w:val="14"/>
      </w:rPr>
      <w:fldChar w:fldCharType="separate"/>
    </w:r>
    <w:r w:rsidR="00D030B9">
      <w:rPr>
        <w:rFonts w:eastAsia="ArialMT" w:cs="ArialMT"/>
        <w:noProof/>
        <w:sz w:val="14"/>
        <w:szCs w:val="14"/>
        <w:lang w:val="it-IT"/>
      </w:rPr>
      <w:t>2</w:t>
    </w:r>
    <w:r w:rsidR="002C0F78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2C0F78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 w:rsidR="002C0F78">
      <w:rPr>
        <w:rFonts w:eastAsia="ArialMT" w:cs="ArialMT"/>
        <w:sz w:val="14"/>
        <w:szCs w:val="14"/>
      </w:rPr>
      <w:fldChar w:fldCharType="separate"/>
    </w:r>
    <w:r w:rsidR="00331F31">
      <w:rPr>
        <w:rFonts w:eastAsia="ArialMT" w:cs="ArialMT"/>
        <w:noProof/>
        <w:sz w:val="14"/>
        <w:szCs w:val="14"/>
        <w:lang w:val="it-IT"/>
      </w:rPr>
      <w:t>4</w:t>
    </w:r>
    <w:r w:rsidR="002C0F78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61941" w14:textId="77777777" w:rsidR="002A00A2" w:rsidRPr="00CF2C1E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B26F8" w14:textId="77777777" w:rsidR="00897071" w:rsidRDefault="00897071">
      <w:r>
        <w:separator/>
      </w:r>
    </w:p>
  </w:footnote>
  <w:footnote w:type="continuationSeparator" w:id="0">
    <w:p w14:paraId="3CAD0179" w14:textId="77777777" w:rsidR="00897071" w:rsidRDefault="008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142B4" w14:textId="77777777" w:rsidR="002A00A2" w:rsidRPr="00356960" w:rsidRDefault="00C06DDC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6704" behindDoc="0" locked="0" layoutInCell="1" allowOverlap="1" wp14:anchorId="41A91156" wp14:editId="0E0AEB2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2A00A2" w:rsidRPr="00356960">
      <w:rPr>
        <w:szCs w:val="20"/>
        <w:lang w:val="it-IT"/>
      </w:rPr>
      <w:t>Curriculum Vitae</w:t>
    </w:r>
    <w:r w:rsidR="002A00A2" w:rsidRPr="00356960">
      <w:rPr>
        <w:szCs w:val="20"/>
        <w:lang w:val="it-IT"/>
      </w:rPr>
      <w:tab/>
      <w:t xml:space="preserve"> </w:t>
    </w:r>
    <w:r w:rsidR="007A4290">
      <w:rPr>
        <w:szCs w:val="20"/>
        <w:lang w:val="it-IT"/>
      </w:rPr>
      <w:t xml:space="preserve">Alessia </w:t>
    </w:r>
    <w:proofErr w:type="spellStart"/>
    <w:r w:rsidR="007A4290">
      <w:rPr>
        <w:szCs w:val="20"/>
        <w:lang w:val="it-IT"/>
      </w:rPr>
      <w:t>Smerilli</w:t>
    </w:r>
    <w:proofErr w:type="spellEnd"/>
    <w:r w:rsidR="007A4290">
      <w:rPr>
        <w:szCs w:val="20"/>
        <w:lang w:val="it-IT"/>
      </w:rPr>
      <w:t xml:space="preserve"> </w:t>
    </w:r>
    <w:r w:rsidR="002A00A2" w:rsidRPr="00356960">
      <w:rPr>
        <w:lang w:val="it-IT"/>
      </w:rPr>
      <w:t xml:space="preserve"> </w:t>
    </w:r>
  </w:p>
  <w:p w14:paraId="0698ADD7" w14:textId="77777777" w:rsidR="002A00A2" w:rsidRDefault="002A00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AF4711B"/>
    <w:multiLevelType w:val="hybridMultilevel"/>
    <w:tmpl w:val="F4B6758E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3DD6868"/>
    <w:multiLevelType w:val="multilevel"/>
    <w:tmpl w:val="39E4276E"/>
    <w:lvl w:ilvl="0">
      <w:start w:val="1"/>
      <w:numFmt w:val="bullet"/>
      <w:lvlText w:val="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4" w15:restartNumberingAfterBreak="0">
    <w:nsid w:val="39507087"/>
    <w:multiLevelType w:val="hybridMultilevel"/>
    <w:tmpl w:val="8D8EECB2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B2F1ABA"/>
    <w:multiLevelType w:val="hybridMultilevel"/>
    <w:tmpl w:val="0630D834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7576123"/>
    <w:multiLevelType w:val="hybridMultilevel"/>
    <w:tmpl w:val="1A7E92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70BAF"/>
    <w:multiLevelType w:val="hybridMultilevel"/>
    <w:tmpl w:val="D478775E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1465B6E"/>
    <w:multiLevelType w:val="multilevel"/>
    <w:tmpl w:val="B4B65FBA"/>
    <w:lvl w:ilvl="0">
      <w:start w:val="1"/>
      <w:numFmt w:val="bullet"/>
      <w:lvlText w:val="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74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60"/>
    <w:rsid w:val="00006370"/>
    <w:rsid w:val="00022EE1"/>
    <w:rsid w:val="00033F42"/>
    <w:rsid w:val="00061D2F"/>
    <w:rsid w:val="000843C3"/>
    <w:rsid w:val="000C5EC0"/>
    <w:rsid w:val="00114EE3"/>
    <w:rsid w:val="00137A7C"/>
    <w:rsid w:val="00165624"/>
    <w:rsid w:val="00187A33"/>
    <w:rsid w:val="001A3219"/>
    <w:rsid w:val="001D245F"/>
    <w:rsid w:val="001D2E78"/>
    <w:rsid w:val="001F4719"/>
    <w:rsid w:val="00225F9F"/>
    <w:rsid w:val="00242F55"/>
    <w:rsid w:val="00250A62"/>
    <w:rsid w:val="00290B78"/>
    <w:rsid w:val="002A00A2"/>
    <w:rsid w:val="002B7058"/>
    <w:rsid w:val="002C0F78"/>
    <w:rsid w:val="002F56A5"/>
    <w:rsid w:val="003128FF"/>
    <w:rsid w:val="00320D99"/>
    <w:rsid w:val="0033103E"/>
    <w:rsid w:val="00331F31"/>
    <w:rsid w:val="00337082"/>
    <w:rsid w:val="00356843"/>
    <w:rsid w:val="00356960"/>
    <w:rsid w:val="00366520"/>
    <w:rsid w:val="0038559D"/>
    <w:rsid w:val="003A36A9"/>
    <w:rsid w:val="003F6A14"/>
    <w:rsid w:val="004351A3"/>
    <w:rsid w:val="00445983"/>
    <w:rsid w:val="00462EAA"/>
    <w:rsid w:val="00466983"/>
    <w:rsid w:val="004A6523"/>
    <w:rsid w:val="004B1EAE"/>
    <w:rsid w:val="004F66FF"/>
    <w:rsid w:val="00533FA9"/>
    <w:rsid w:val="0054682D"/>
    <w:rsid w:val="00580BE7"/>
    <w:rsid w:val="0058464D"/>
    <w:rsid w:val="00586B10"/>
    <w:rsid w:val="0059096F"/>
    <w:rsid w:val="005E69A3"/>
    <w:rsid w:val="006001B2"/>
    <w:rsid w:val="00604D39"/>
    <w:rsid w:val="0061685D"/>
    <w:rsid w:val="00626755"/>
    <w:rsid w:val="00687940"/>
    <w:rsid w:val="006B323D"/>
    <w:rsid w:val="006F303C"/>
    <w:rsid w:val="00706C6F"/>
    <w:rsid w:val="00716007"/>
    <w:rsid w:val="00762C04"/>
    <w:rsid w:val="007972EB"/>
    <w:rsid w:val="007A4290"/>
    <w:rsid w:val="007B6FCD"/>
    <w:rsid w:val="007C2B75"/>
    <w:rsid w:val="007E16BD"/>
    <w:rsid w:val="007E2B07"/>
    <w:rsid w:val="007E3D1D"/>
    <w:rsid w:val="007F4131"/>
    <w:rsid w:val="0084289F"/>
    <w:rsid w:val="008544F8"/>
    <w:rsid w:val="00856249"/>
    <w:rsid w:val="00857656"/>
    <w:rsid w:val="0086172B"/>
    <w:rsid w:val="00885ED4"/>
    <w:rsid w:val="00897071"/>
    <w:rsid w:val="008C6A08"/>
    <w:rsid w:val="008D28CB"/>
    <w:rsid w:val="008E19ED"/>
    <w:rsid w:val="009415F5"/>
    <w:rsid w:val="009473F5"/>
    <w:rsid w:val="0098366B"/>
    <w:rsid w:val="00A01763"/>
    <w:rsid w:val="00A81CDB"/>
    <w:rsid w:val="00A8275A"/>
    <w:rsid w:val="00A87E4F"/>
    <w:rsid w:val="00A94BDA"/>
    <w:rsid w:val="00AB59CB"/>
    <w:rsid w:val="00AC2CE4"/>
    <w:rsid w:val="00B26E9B"/>
    <w:rsid w:val="00B31A4F"/>
    <w:rsid w:val="00B4086A"/>
    <w:rsid w:val="00B502FA"/>
    <w:rsid w:val="00B56C68"/>
    <w:rsid w:val="00B871D9"/>
    <w:rsid w:val="00BD3DD2"/>
    <w:rsid w:val="00BD5F5D"/>
    <w:rsid w:val="00BD68B0"/>
    <w:rsid w:val="00BE38AA"/>
    <w:rsid w:val="00BE4056"/>
    <w:rsid w:val="00C06DDC"/>
    <w:rsid w:val="00C13ADB"/>
    <w:rsid w:val="00C2214C"/>
    <w:rsid w:val="00C35C10"/>
    <w:rsid w:val="00C37A42"/>
    <w:rsid w:val="00C44D3F"/>
    <w:rsid w:val="00C56061"/>
    <w:rsid w:val="00CA5195"/>
    <w:rsid w:val="00CB2873"/>
    <w:rsid w:val="00CD7A8D"/>
    <w:rsid w:val="00CE318D"/>
    <w:rsid w:val="00CF2C1E"/>
    <w:rsid w:val="00D030B9"/>
    <w:rsid w:val="00D27083"/>
    <w:rsid w:val="00D308C6"/>
    <w:rsid w:val="00D42A82"/>
    <w:rsid w:val="00D460B7"/>
    <w:rsid w:val="00D540ED"/>
    <w:rsid w:val="00D5747C"/>
    <w:rsid w:val="00D63AB7"/>
    <w:rsid w:val="00D6738C"/>
    <w:rsid w:val="00D864A2"/>
    <w:rsid w:val="00DA568A"/>
    <w:rsid w:val="00DE2E4F"/>
    <w:rsid w:val="00DE3E00"/>
    <w:rsid w:val="00DE3F8D"/>
    <w:rsid w:val="00DE5D06"/>
    <w:rsid w:val="00E04A7F"/>
    <w:rsid w:val="00E4560C"/>
    <w:rsid w:val="00E46C78"/>
    <w:rsid w:val="00E53875"/>
    <w:rsid w:val="00E54EE8"/>
    <w:rsid w:val="00E719B8"/>
    <w:rsid w:val="00E74E06"/>
    <w:rsid w:val="00EC574B"/>
    <w:rsid w:val="00F566FD"/>
    <w:rsid w:val="00F66125"/>
    <w:rsid w:val="00F71D77"/>
    <w:rsid w:val="00F7725F"/>
    <w:rsid w:val="00F82CDC"/>
    <w:rsid w:val="00FA099D"/>
    <w:rsid w:val="00FA747E"/>
    <w:rsid w:val="00FB7E6F"/>
    <w:rsid w:val="00FF371D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01BCA2D6"/>
  <w15:docId w15:val="{6A749D08-2542-4FFE-8C3F-4C3F34D0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EE3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rsid w:val="00114EE3"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rsid w:val="00114EE3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114EE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114EE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114EE3"/>
  </w:style>
  <w:style w:type="character" w:customStyle="1" w:styleId="Bullets">
    <w:name w:val="Bullets"/>
    <w:rsid w:val="00114EE3"/>
    <w:rPr>
      <w:rFonts w:ascii="OpenSymbol" w:eastAsia="OpenSymbol" w:hAnsi="OpenSymbol" w:cs="OpenSymbol"/>
    </w:rPr>
  </w:style>
  <w:style w:type="character" w:styleId="Numeroriga">
    <w:name w:val="line number"/>
    <w:rsid w:val="00114EE3"/>
  </w:style>
  <w:style w:type="character" w:styleId="Collegamentoipertestuale">
    <w:name w:val="Hyperlink"/>
    <w:rsid w:val="00114EE3"/>
    <w:rPr>
      <w:color w:val="000080"/>
      <w:u w:val="single"/>
    </w:rPr>
  </w:style>
  <w:style w:type="character" w:customStyle="1" w:styleId="ECVInternetLink">
    <w:name w:val="_ECV_InternetLink"/>
    <w:rsid w:val="00114EE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114EE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sid w:val="00114EE3"/>
    <w:rPr>
      <w:color w:val="800000"/>
      <w:u w:val="single"/>
    </w:rPr>
  </w:style>
  <w:style w:type="paragraph" w:customStyle="1" w:styleId="Heading">
    <w:name w:val="Heading"/>
    <w:basedOn w:val="Normale"/>
    <w:next w:val="Corpotesto"/>
    <w:rsid w:val="00114EE3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rsid w:val="00114EE3"/>
    <w:pPr>
      <w:spacing w:line="100" w:lineRule="atLeast"/>
    </w:pPr>
  </w:style>
  <w:style w:type="paragraph" w:styleId="Elenco">
    <w:name w:val="List"/>
    <w:basedOn w:val="Corpotesto"/>
    <w:rsid w:val="00114EE3"/>
  </w:style>
  <w:style w:type="paragraph" w:styleId="Didascalia">
    <w:name w:val="caption"/>
    <w:basedOn w:val="Normale"/>
    <w:qFormat/>
    <w:rsid w:val="00114EE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rsid w:val="00114EE3"/>
    <w:pPr>
      <w:suppressLineNumbers/>
    </w:pPr>
  </w:style>
  <w:style w:type="paragraph" w:customStyle="1" w:styleId="TableContents">
    <w:name w:val="Table Contents"/>
    <w:basedOn w:val="Normale"/>
    <w:rsid w:val="00114EE3"/>
    <w:pPr>
      <w:suppressLineNumbers/>
    </w:pPr>
  </w:style>
  <w:style w:type="paragraph" w:customStyle="1" w:styleId="TableHeading">
    <w:name w:val="Table Heading"/>
    <w:basedOn w:val="TableContents"/>
    <w:rsid w:val="00114EE3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114EE3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114EE3"/>
    <w:rPr>
      <w:color w:val="404040"/>
      <w:sz w:val="20"/>
    </w:rPr>
  </w:style>
  <w:style w:type="paragraph" w:customStyle="1" w:styleId="ECVRightColumn">
    <w:name w:val="_ECV_RightColumn"/>
    <w:basedOn w:val="TableContents"/>
    <w:rsid w:val="00114EE3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114EE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114EE3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114EE3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114EE3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114EE3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114EE3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114EE3"/>
  </w:style>
  <w:style w:type="paragraph" w:customStyle="1" w:styleId="Table">
    <w:name w:val="Table"/>
    <w:basedOn w:val="Didascalia"/>
    <w:rsid w:val="00114EE3"/>
  </w:style>
  <w:style w:type="paragraph" w:customStyle="1" w:styleId="ECVSubSectionHeading">
    <w:name w:val="_ECV_SubSectionHeading"/>
    <w:basedOn w:val="ECVRightColumn"/>
    <w:rsid w:val="00114EE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114EE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114EE3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114EE3"/>
    <w:pPr>
      <w:spacing w:before="0"/>
    </w:pPr>
  </w:style>
  <w:style w:type="paragraph" w:customStyle="1" w:styleId="ECVHeadingBullet">
    <w:name w:val="_ECV_HeadingBullet"/>
    <w:basedOn w:val="ECVLeftHeading"/>
    <w:rsid w:val="00114EE3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114EE3"/>
    <w:pPr>
      <w:spacing w:before="0" w:line="100" w:lineRule="atLeast"/>
    </w:pPr>
  </w:style>
  <w:style w:type="paragraph" w:customStyle="1" w:styleId="CVMajor">
    <w:name w:val="CV Major"/>
    <w:basedOn w:val="Normale"/>
    <w:rsid w:val="00114EE3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114EE3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rsid w:val="00114EE3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114EE3"/>
    <w:rPr>
      <w:color w:val="17ACE6"/>
    </w:rPr>
  </w:style>
  <w:style w:type="paragraph" w:styleId="Intestazione">
    <w:name w:val="header"/>
    <w:basedOn w:val="Normale"/>
    <w:link w:val="IntestazioneCarattere"/>
    <w:uiPriority w:val="99"/>
    <w:rsid w:val="00114EE3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114EE3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rsid w:val="00114EE3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114EE3"/>
  </w:style>
  <w:style w:type="paragraph" w:customStyle="1" w:styleId="ECVLeftDetails">
    <w:name w:val="_ECV_LeftDetails"/>
    <w:basedOn w:val="ECVLeftHeading"/>
    <w:rsid w:val="00114EE3"/>
    <w:pPr>
      <w:spacing w:before="23"/>
    </w:pPr>
    <w:rPr>
      <w:caps w:val="0"/>
    </w:rPr>
  </w:style>
  <w:style w:type="paragraph" w:styleId="Pidipagina">
    <w:name w:val="footer"/>
    <w:basedOn w:val="Normale"/>
    <w:rsid w:val="00114EE3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114EE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114EE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114EE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114EE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114EE3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114EE3"/>
    <w:rPr>
      <w:u w:val="single"/>
    </w:rPr>
  </w:style>
  <w:style w:type="paragraph" w:customStyle="1" w:styleId="ECVText">
    <w:name w:val="_ECV_Text"/>
    <w:basedOn w:val="Corpotesto"/>
    <w:rsid w:val="00114EE3"/>
  </w:style>
  <w:style w:type="paragraph" w:customStyle="1" w:styleId="ECVBusinessSector">
    <w:name w:val="_ECV_BusinessSector"/>
    <w:basedOn w:val="ECVOrganisationDetails"/>
    <w:rsid w:val="00114EE3"/>
    <w:pPr>
      <w:spacing w:before="113" w:after="0"/>
    </w:pPr>
  </w:style>
  <w:style w:type="paragraph" w:customStyle="1" w:styleId="ECVLanguageName">
    <w:name w:val="_ECV_LanguageName"/>
    <w:basedOn w:val="ECVLanguageCertificate"/>
    <w:rsid w:val="00114EE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114EE3"/>
    <w:pPr>
      <w:spacing w:before="57"/>
    </w:pPr>
  </w:style>
  <w:style w:type="paragraph" w:customStyle="1" w:styleId="ECVOccupationalFieldHeading">
    <w:name w:val="_ECV_OccupationalFieldHeading"/>
    <w:basedOn w:val="ECVLeftHeading"/>
    <w:rsid w:val="00114EE3"/>
    <w:pPr>
      <w:spacing w:before="57"/>
    </w:pPr>
  </w:style>
  <w:style w:type="paragraph" w:customStyle="1" w:styleId="ECVGenderRow">
    <w:name w:val="_ECV_GenderRow"/>
    <w:basedOn w:val="Normale"/>
    <w:rsid w:val="00114EE3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114EE3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  <w:rsid w:val="00114EE3"/>
  </w:style>
  <w:style w:type="paragraph" w:customStyle="1" w:styleId="ECVBusinessSectorRow">
    <w:name w:val="_ECV_BusinessSectorRow"/>
    <w:basedOn w:val="Normale"/>
    <w:rsid w:val="00114EE3"/>
  </w:style>
  <w:style w:type="paragraph" w:customStyle="1" w:styleId="ECVBlueBox">
    <w:name w:val="_ECV_BlueBox"/>
    <w:basedOn w:val="ECVNarrowSpacing"/>
    <w:rsid w:val="00114EE3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114EE3"/>
  </w:style>
  <w:style w:type="paragraph" w:customStyle="1" w:styleId="ESPText">
    <w:name w:val="_ESP_Text"/>
    <w:basedOn w:val="ECVText"/>
    <w:rsid w:val="00114EE3"/>
  </w:style>
  <w:style w:type="paragraph" w:customStyle="1" w:styleId="ESPHeading">
    <w:name w:val="_ESP_Heading"/>
    <w:basedOn w:val="ESPText"/>
    <w:rsid w:val="00114EE3"/>
    <w:rPr>
      <w:b/>
      <w:bCs/>
      <w:sz w:val="32"/>
      <w:szCs w:val="32"/>
    </w:rPr>
  </w:style>
  <w:style w:type="paragraph" w:customStyle="1" w:styleId="Footerleft">
    <w:name w:val="Footer left"/>
    <w:basedOn w:val="Normale"/>
    <w:rsid w:val="00114EE3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rsid w:val="00114EE3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114EE3"/>
  </w:style>
  <w:style w:type="paragraph" w:styleId="NormaleWeb">
    <w:name w:val="Normal (Web)"/>
    <w:basedOn w:val="Normale"/>
    <w:uiPriority w:val="99"/>
    <w:semiHidden/>
    <w:unhideWhenUsed/>
    <w:rsid w:val="00225F9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E0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74E06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3F5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Paragrafoelenco">
    <w:name w:val="List Paragraph"/>
    <w:basedOn w:val="Normale"/>
    <w:uiPriority w:val="34"/>
    <w:qFormat/>
    <w:rsid w:val="00861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68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653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ubmed/271675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DB58867-36E7-42F9-ACE8-5693B7AB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7561</Characters>
  <Application>Microsoft Office Word</Application>
  <DocSecurity>4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8870</CharactersWithSpaces>
  <SharedDoc>false</SharedDoc>
  <HLinks>
    <vt:vector size="12" baseType="variant"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https://www.ncbi.nlm.nih.gov/pubmed/27167519</vt:lpwstr>
      </vt:variant>
      <vt:variant>
        <vt:lpwstr/>
      </vt:variant>
      <vt:variant>
        <vt:i4>196702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https://www.ncbi.nlm.nih.gov/pubmed/27167519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David Galli</cp:lastModifiedBy>
  <cp:revision>2</cp:revision>
  <cp:lastPrinted>2019-07-09T09:11:00Z</cp:lastPrinted>
  <dcterms:created xsi:type="dcterms:W3CDTF">2019-10-29T10:57:00Z</dcterms:created>
  <dcterms:modified xsi:type="dcterms:W3CDTF">2019-10-29T10:57:00Z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