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3D" w:rsidRPr="00494524" w:rsidRDefault="0019323D" w:rsidP="0019323D">
      <w:pPr>
        <w:pStyle w:val="Titolo3"/>
        <w:numPr>
          <w:ilvl w:val="0"/>
          <w:numId w:val="0"/>
        </w:numPr>
        <w:ind w:left="720" w:hanging="720"/>
      </w:pPr>
      <w:bookmarkStart w:id="0" w:name="_Toc167974548"/>
      <w:r w:rsidRPr="00494524">
        <w:t>2.2.7 Segnalazioni URP</w:t>
      </w:r>
      <w:bookmarkEnd w:id="0"/>
    </w:p>
    <w:p w:rsidR="0019323D" w:rsidRDefault="0019323D" w:rsidP="0019323D">
      <w:pPr>
        <w:spacing w:line="276" w:lineRule="auto"/>
        <w:rPr>
          <w:noProof/>
        </w:rPr>
      </w:pPr>
      <w:r>
        <w:rPr>
          <w:noProof/>
        </w:rPr>
        <w:t>Nel corso del 2023 le segnalazioni pervenute sono state 116 ed hanno riguardato 100 reclami e 16 encomi.  I reclami hanno riguardato prevalentemente le tematiche relative a: prestazioni e cure (37), tempi di attesa (24), accessibilità (16), aspetti organizzativi (13).</w:t>
      </w:r>
    </w:p>
    <w:p w:rsidR="0019323D" w:rsidRDefault="0019323D" w:rsidP="0019323D">
      <w:pPr>
        <w:spacing w:line="276" w:lineRule="auto"/>
        <w:rPr>
          <w:noProof/>
        </w:rPr>
      </w:pPr>
    </w:p>
    <w:tbl>
      <w:tblPr>
        <w:tblW w:w="59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418"/>
      </w:tblGrid>
      <w:tr w:rsidR="0019323D" w:rsidTr="00F63041">
        <w:trPr>
          <w:trHeight w:val="4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Tipologia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Numero</w:t>
            </w:r>
          </w:p>
        </w:tc>
      </w:tr>
      <w:tr w:rsidR="0019323D" w:rsidTr="00F63041">
        <w:trPr>
          <w:trHeight w:val="40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  <w:color w:val="auto"/>
              </w:rPr>
            </w:pPr>
            <w:r>
              <w:rPr>
                <w:rFonts w:ascii="Calibri" w:hAnsi="Calibri" w:cs="Calibri"/>
                <w:b/>
                <w:bCs/>
              </w:rPr>
              <w:t>ENCOMI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</w:p>
        </w:tc>
      </w:tr>
      <w:tr w:rsidR="0019323D" w:rsidTr="00F63041">
        <w:trPr>
          <w:trHeight w:val="40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RECALAMI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100</w:t>
            </w:r>
          </w:p>
        </w:tc>
      </w:tr>
      <w:tr w:rsidR="0019323D" w:rsidTr="00F63041">
        <w:trPr>
          <w:trHeight w:val="40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ind w:left="35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Accessibilità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</w:p>
        </w:tc>
      </w:tr>
      <w:tr w:rsidR="0019323D" w:rsidTr="00F63041">
        <w:trPr>
          <w:trHeight w:val="40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3D" w:rsidRDefault="0019323D" w:rsidP="00F63041">
            <w:pPr>
              <w:spacing w:after="0" w:line="240" w:lineRule="auto"/>
              <w:ind w:left="35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Aspetti alberghieri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19323D" w:rsidTr="00F63041">
        <w:trPr>
          <w:trHeight w:val="40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3D" w:rsidRDefault="0019323D" w:rsidP="00F63041">
            <w:pPr>
              <w:spacing w:after="0" w:line="240" w:lineRule="auto"/>
              <w:ind w:left="35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Aspetti burocratici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19323D" w:rsidTr="00F63041">
        <w:trPr>
          <w:trHeight w:val="40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3D" w:rsidRDefault="0019323D" w:rsidP="00F63041">
            <w:pPr>
              <w:spacing w:after="0" w:line="240" w:lineRule="auto"/>
              <w:ind w:left="35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Aspetti economici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</w:tr>
      <w:tr w:rsidR="0019323D" w:rsidTr="00F63041">
        <w:trPr>
          <w:trHeight w:val="43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3D" w:rsidRDefault="0019323D" w:rsidP="00F63041">
            <w:pPr>
              <w:spacing w:after="0" w:line="240" w:lineRule="auto"/>
              <w:ind w:left="35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Aspetti organizzativi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</w:t>
            </w:r>
          </w:p>
        </w:tc>
      </w:tr>
      <w:tr w:rsidR="0019323D" w:rsidTr="00F63041">
        <w:trPr>
          <w:trHeight w:val="41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3D" w:rsidRDefault="0019323D" w:rsidP="00F63041">
            <w:pPr>
              <w:spacing w:after="0" w:line="240" w:lineRule="auto"/>
              <w:ind w:left="35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Informazione Clinica e di orientamento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19323D" w:rsidTr="00F63041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3D" w:rsidRDefault="0019323D" w:rsidP="00F63041">
            <w:pPr>
              <w:spacing w:after="0" w:line="240" w:lineRule="auto"/>
              <w:ind w:left="35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Prestazioni - Cure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</w:t>
            </w:r>
          </w:p>
        </w:tc>
      </w:tr>
      <w:tr w:rsidR="0019323D" w:rsidTr="00F63041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3D" w:rsidRDefault="0019323D" w:rsidP="00F63041">
            <w:pPr>
              <w:spacing w:after="0" w:line="240" w:lineRule="auto"/>
              <w:ind w:left="35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Problemi Relazionali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19323D" w:rsidTr="00F63041">
        <w:trPr>
          <w:trHeight w:val="40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3D" w:rsidRDefault="0019323D" w:rsidP="00F63041">
            <w:pPr>
              <w:spacing w:after="0" w:line="240" w:lineRule="auto"/>
              <w:ind w:left="35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Tempi di attesa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</w:p>
        </w:tc>
      </w:tr>
      <w:tr w:rsidR="0019323D" w:rsidTr="00F63041">
        <w:trPr>
          <w:trHeight w:val="4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3D" w:rsidRDefault="0019323D" w:rsidP="00F63041">
            <w:pPr>
              <w:spacing w:after="0" w:line="240" w:lineRule="auto"/>
              <w:ind w:left="35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Umanizzazione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19323D" w:rsidTr="00F63041">
        <w:trPr>
          <w:trHeight w:val="4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23D" w:rsidRDefault="0019323D" w:rsidP="00F63041">
            <w:pPr>
              <w:spacing w:after="0" w:line="240" w:lineRule="auto"/>
              <w:ind w:left="35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Varie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323D" w:rsidRDefault="0019323D" w:rsidP="00F6304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</w:tr>
    </w:tbl>
    <w:p w:rsidR="0019323D" w:rsidRDefault="0019323D" w:rsidP="0019323D">
      <w:pPr>
        <w:spacing w:line="360" w:lineRule="auto"/>
        <w:jc w:val="center"/>
        <w:rPr>
          <w:b/>
          <w:noProof/>
          <w:highlight w:val="yellow"/>
        </w:rPr>
      </w:pPr>
      <w:r w:rsidRPr="000F6699">
        <w:rPr>
          <w:b/>
          <w:noProof/>
        </w:rPr>
        <w:t>Grafico 7 AST FERMO 2023: N. segnalazioni per Tematica</w:t>
      </w:r>
      <w:r>
        <w:rPr>
          <w:noProof/>
        </w:rPr>
        <w:drawing>
          <wp:inline distT="0" distB="0" distL="0" distR="0" wp14:anchorId="05A67C23" wp14:editId="5EF50455">
            <wp:extent cx="5337175" cy="3718560"/>
            <wp:effectExtent l="0" t="0" r="9525" b="15240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9323D" w:rsidRDefault="0019323D" w:rsidP="0019323D">
      <w:pPr>
        <w:spacing w:line="360" w:lineRule="auto"/>
        <w:jc w:val="center"/>
        <w:rPr>
          <w:b/>
          <w:noProof/>
        </w:rPr>
      </w:pPr>
      <w:r w:rsidRPr="000F6699">
        <w:rPr>
          <w:b/>
          <w:noProof/>
        </w:rPr>
        <w:lastRenderedPageBreak/>
        <w:t xml:space="preserve">Grafico 8 AST FERMO </w:t>
      </w:r>
      <w:r w:rsidRPr="000F6699">
        <w:rPr>
          <w:b/>
        </w:rPr>
        <w:t>Reclami (%) classificati secondo chi ha segnalato</w:t>
      </w:r>
      <w:r>
        <w:rPr>
          <w:b/>
        </w:rPr>
        <w:t xml:space="preserve"> </w:t>
      </w:r>
      <w:r>
        <w:rPr>
          <w:b/>
          <w:noProof/>
        </w:rPr>
        <w:t xml:space="preserve"> </w:t>
      </w:r>
    </w:p>
    <w:p w:rsidR="0019323D" w:rsidRPr="00EF3F15" w:rsidRDefault="0019323D" w:rsidP="0019323D">
      <w:pPr>
        <w:spacing w:line="360" w:lineRule="auto"/>
        <w:jc w:val="center"/>
        <w:rPr>
          <w:b/>
          <w:noProof/>
        </w:rPr>
      </w:pPr>
      <w:r>
        <w:rPr>
          <w:noProof/>
        </w:rPr>
        <w:drawing>
          <wp:inline distT="0" distB="0" distL="0" distR="0" wp14:anchorId="78B424DD" wp14:editId="31F73962">
            <wp:extent cx="6149975" cy="2512695"/>
            <wp:effectExtent l="0" t="0" r="9525" b="14605"/>
            <wp:docPr id="6" name="Gra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9323D" w:rsidRDefault="0019323D" w:rsidP="0019323D">
      <w:pPr>
        <w:pStyle w:val="Intestazione"/>
        <w:tabs>
          <w:tab w:val="left" w:pos="-1260"/>
        </w:tabs>
        <w:ind w:left="0" w:firstLine="0"/>
      </w:pPr>
      <w:bookmarkStart w:id="1" w:name="_GoBack"/>
      <w:bookmarkEnd w:id="1"/>
    </w:p>
    <w:sectPr w:rsidR="001932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F6ED2"/>
    <w:multiLevelType w:val="multilevel"/>
    <w:tmpl w:val="5A52978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1002" w:hanging="576"/>
      </w:pPr>
    </w:lvl>
    <w:lvl w:ilvl="2">
      <w:start w:val="1"/>
      <w:numFmt w:val="decimal"/>
      <w:pStyle w:val="Titolo3"/>
      <w:lvlText w:val="%1.%2.%3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3D"/>
    <w:rsid w:val="0019323D"/>
    <w:rsid w:val="0069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3F952-11D1-4B51-82A1-4EAD1F03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323D"/>
    <w:pPr>
      <w:spacing w:after="5" w:line="256" w:lineRule="auto"/>
      <w:ind w:left="10" w:right="50" w:hanging="10"/>
      <w:jc w:val="both"/>
    </w:pPr>
    <w:rPr>
      <w:rFonts w:eastAsia="Times New Roman" w:cstheme="minorHAnsi"/>
      <w:color w:val="000000"/>
      <w:kern w:val="2"/>
      <w:sz w:val="24"/>
      <w:lang w:eastAsia="it-IT"/>
      <w14:ligatures w14:val="standardContextual"/>
    </w:rPr>
  </w:style>
  <w:style w:type="paragraph" w:styleId="Titolo1">
    <w:name w:val="heading 1"/>
    <w:basedOn w:val="Titolo2"/>
    <w:next w:val="Normale"/>
    <w:link w:val="Titolo1Carattere"/>
    <w:uiPriority w:val="9"/>
    <w:qFormat/>
    <w:rsid w:val="0019323D"/>
    <w:pPr>
      <w:numPr>
        <w:ilvl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720" w:after="240"/>
      <w:outlineLvl w:val="0"/>
    </w:pPr>
    <w:rPr>
      <w:sz w:val="28"/>
      <w:szCs w:val="28"/>
    </w:rPr>
  </w:style>
  <w:style w:type="paragraph" w:styleId="Titolo2">
    <w:name w:val="heading 2"/>
    <w:next w:val="Normale"/>
    <w:link w:val="Titolo2Carattere"/>
    <w:uiPriority w:val="9"/>
    <w:unhideWhenUsed/>
    <w:qFormat/>
    <w:rsid w:val="0019323D"/>
    <w:pPr>
      <w:keepNext/>
      <w:keepLines/>
      <w:numPr>
        <w:ilvl w:val="1"/>
        <w:numId w:val="1"/>
      </w:numPr>
      <w:spacing w:before="480" w:after="120"/>
      <w:ind w:left="576"/>
      <w:outlineLvl w:val="1"/>
    </w:pPr>
    <w:rPr>
      <w:rFonts w:eastAsia="Times New Roman" w:cstheme="minorHAnsi"/>
      <w:b/>
      <w:bCs/>
      <w:color w:val="333399"/>
      <w:kern w:val="2"/>
      <w:sz w:val="26"/>
      <w:szCs w:val="26"/>
      <w:lang w:eastAsia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9323D"/>
    <w:pPr>
      <w:numPr>
        <w:ilvl w:val="2"/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after="141" w:line="259" w:lineRule="auto"/>
      <w:ind w:left="720" w:right="0"/>
      <w:jc w:val="left"/>
      <w:outlineLvl w:val="2"/>
    </w:pPr>
    <w:rPr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9323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323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323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323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323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323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323D"/>
    <w:rPr>
      <w:rFonts w:eastAsia="Times New Roman" w:cstheme="minorHAnsi"/>
      <w:b/>
      <w:bCs/>
      <w:color w:val="333399"/>
      <w:kern w:val="2"/>
      <w:sz w:val="28"/>
      <w:szCs w:val="28"/>
      <w:lang w:eastAsia="it-IT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323D"/>
    <w:rPr>
      <w:rFonts w:eastAsia="Times New Roman" w:cstheme="minorHAnsi"/>
      <w:b/>
      <w:bCs/>
      <w:color w:val="333399"/>
      <w:kern w:val="2"/>
      <w:sz w:val="26"/>
      <w:szCs w:val="26"/>
      <w:lang w:eastAsia="it-IT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9323D"/>
    <w:rPr>
      <w:rFonts w:eastAsia="Times New Roman" w:cstheme="minorHAnsi"/>
      <w:color w:val="000000"/>
      <w:kern w:val="2"/>
      <w:sz w:val="24"/>
      <w:szCs w:val="24"/>
      <w:shd w:val="clear" w:color="auto" w:fill="CCFFFF"/>
      <w:lang w:eastAsia="it-IT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323D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lang w:eastAsia="it-IT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323D"/>
    <w:rPr>
      <w:rFonts w:asciiTheme="majorHAnsi" w:eastAsiaTheme="majorEastAsia" w:hAnsiTheme="majorHAnsi" w:cstheme="majorBidi"/>
      <w:color w:val="2E74B5" w:themeColor="accent1" w:themeShade="BF"/>
      <w:kern w:val="2"/>
      <w:sz w:val="24"/>
      <w:lang w:eastAsia="it-IT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323D"/>
    <w:rPr>
      <w:rFonts w:asciiTheme="majorHAnsi" w:eastAsiaTheme="majorEastAsia" w:hAnsiTheme="majorHAnsi" w:cstheme="majorBidi"/>
      <w:color w:val="1F4D78" w:themeColor="accent1" w:themeShade="7F"/>
      <w:kern w:val="2"/>
      <w:sz w:val="24"/>
      <w:lang w:eastAsia="it-IT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323D"/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4"/>
      <w:lang w:eastAsia="it-IT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323D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it-IT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323D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it-IT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1932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23D"/>
    <w:rPr>
      <w:rFonts w:eastAsia="Times New Roman" w:cstheme="minorHAnsi"/>
      <w:color w:val="000000"/>
      <w:kern w:val="2"/>
      <w:sz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ssimiliano.malloni\AppData\Local\Microsoft\Windows\INetCache\Content.Outlook\8GX2AILR\DATA%20BASE%20Encomi-Reclami%20Anno%202023%20per%20RISCHIO%20CLINICO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ssimiliano.malloni\AppData\Local\Microsoft\Windows\INetCache\Content.Outlook\8GX2AILR\DATA%20BASE%20Encomi-Reclami%20Anno%202023%20per%20RISCHIO%20CLINICO%20(2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b="1"/>
              <a:t>Segnalazioni</a:t>
            </a:r>
            <a:r>
              <a:rPr lang="it-IT" b="1" baseline="0"/>
              <a:t>, distinte in 'encomi' e 'reclami' </a:t>
            </a:r>
          </a:p>
          <a:p>
            <a:pPr>
              <a:defRPr b="1"/>
            </a:pPr>
            <a:r>
              <a:rPr lang="it-IT" b="1" baseline="0"/>
              <a:t>(volumi dei reclami)</a:t>
            </a:r>
            <a:endParaRPr lang="it-IT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ofPieChart>
        <c:ofPieType val="bar"/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84-4322-A7FC-BC66E54E245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84-4322-A7FC-BC66E54E245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C84-4322-A7FC-BC66E54E245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C84-4322-A7FC-BC66E54E2458}"/>
              </c:ext>
            </c:extLst>
          </c:dPt>
          <c:dPt>
            <c:idx val="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C84-4322-A7FC-BC66E54E245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C84-4322-A7FC-BC66E54E2458}"/>
              </c:ext>
            </c:extLst>
          </c:dPt>
          <c:dPt>
            <c:idx val="6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C84-4322-A7FC-BC66E54E245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C84-4322-A7FC-BC66E54E2458}"/>
              </c:ext>
            </c:extLst>
          </c:dPt>
          <c:dPt>
            <c:idx val="8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C84-4322-A7FC-BC66E54E2458}"/>
              </c:ext>
            </c:extLst>
          </c:dPt>
          <c:dLbls>
            <c:dLbl>
              <c:idx val="1"/>
              <c:layout>
                <c:manualLayout>
                  <c:x val="-0.10733452593917719"/>
                  <c:y val="-1.02827763496143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C84-4322-A7FC-BC66E54E2458}"/>
                </c:ext>
              </c:extLst>
            </c:dLbl>
            <c:dLbl>
              <c:idx val="2"/>
              <c:layout>
                <c:manualLayout>
                  <c:x val="-8.3482409063804497E-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C84-4322-A7FC-BC66E54E2458}"/>
                </c:ext>
              </c:extLst>
            </c:dLbl>
            <c:dLbl>
              <c:idx val="3"/>
              <c:layout>
                <c:manualLayout>
                  <c:x val="-3.2796566797665586E-2"/>
                  <c:y val="-6.2838462887913594E-1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67630141938876"/>
                      <c:h val="8.558697514995715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C84-4322-A7FC-BC66E54E2458}"/>
                </c:ext>
              </c:extLst>
            </c:dLbl>
            <c:dLbl>
              <c:idx val="4"/>
              <c:layout>
                <c:manualLayout>
                  <c:x val="-7.6326774001192782E-2"/>
                  <c:y val="6.2838462887913594E-1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EC84-4322-A7FC-BC66E54E2458}"/>
                </c:ext>
              </c:extLst>
            </c:dLbl>
            <c:dLbl>
              <c:idx val="5"/>
              <c:layout>
                <c:manualLayout>
                  <c:x val="-5.9630292188431813E-2"/>
                  <c:y val="-1.2567692577582719E-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464510585550688"/>
                      <c:h val="8.558697514995715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EC84-4322-A7FC-BC66E54E2458}"/>
                </c:ext>
              </c:extLst>
            </c:dLbl>
            <c:dLbl>
              <c:idx val="6"/>
              <c:layout>
                <c:manualLayout>
                  <c:x val="-9.0638044126416129E-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EC84-4322-A7FC-BC66E54E2458}"/>
                </c:ext>
              </c:extLst>
            </c:dLbl>
            <c:dLbl>
              <c:idx val="7"/>
              <c:layout>
                <c:manualLayout>
                  <c:x val="-0.1693500298151461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EC84-4322-A7FC-BC66E54E2458}"/>
                </c:ext>
              </c:extLst>
            </c:dLbl>
            <c:dLbl>
              <c:idx val="8"/>
              <c:layout>
                <c:manualLayout>
                  <c:x val="-0.28501964982463057"/>
                  <c:y val="-0.1402570694087403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RECLAMI</a:t>
                    </a:r>
                    <a:r>
                      <a:rPr lang="en-US" baseline="0"/>
                      <a:t>; </a:t>
                    </a:r>
                    <a:fld id="{8C958B19-D115-4F96-80EF-3D8D345ADE13}" type="VALUE">
                      <a:rPr lang="en-US" baseline="0"/>
                      <a:pPr/>
                      <a:t>[VALORE]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EC84-4322-A7FC-BC66E54E24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'Report anno 2023'!$J$3:$J$10</c:f>
              <c:strCache>
                <c:ptCount val="8"/>
                <c:pt idx="0">
                  <c:v>ENCOMI</c:v>
                </c:pt>
                <c:pt idx="1">
                  <c:v>Accessibilità</c:v>
                </c:pt>
                <c:pt idx="2">
                  <c:v>Aspetti economici</c:v>
                </c:pt>
                <c:pt idx="3">
                  <c:v>Aspetti organizzativi</c:v>
                </c:pt>
                <c:pt idx="4">
                  <c:v>Prestazioni - Cure</c:v>
                </c:pt>
                <c:pt idx="5">
                  <c:v>Problemi Relazionali </c:v>
                </c:pt>
                <c:pt idx="6">
                  <c:v>Tempi di attesa</c:v>
                </c:pt>
                <c:pt idx="7">
                  <c:v>Varie</c:v>
                </c:pt>
              </c:strCache>
            </c:strRef>
          </c:cat>
          <c:val>
            <c:numRef>
              <c:f>'Report anno 2023'!$K$3:$K$10</c:f>
              <c:numCache>
                <c:formatCode>General</c:formatCode>
                <c:ptCount val="8"/>
                <c:pt idx="0">
                  <c:v>16</c:v>
                </c:pt>
                <c:pt idx="1">
                  <c:v>16</c:v>
                </c:pt>
                <c:pt idx="2">
                  <c:v>7</c:v>
                </c:pt>
                <c:pt idx="3">
                  <c:v>13</c:v>
                </c:pt>
                <c:pt idx="4">
                  <c:v>37</c:v>
                </c:pt>
                <c:pt idx="5">
                  <c:v>1</c:v>
                </c:pt>
                <c:pt idx="6">
                  <c:v>24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C84-4322-A7FC-BC66E54E24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plitType val="pos"/>
        <c:splitPos val="7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57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AE4-4240-89F6-CEA4E87F24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AE4-4240-89F6-CEA4E87F24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AE4-4240-89F6-CEA4E87F24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AE4-4240-89F6-CEA4E87F245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AE4-4240-89F6-CEA4E87F245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AE4-4240-89F6-CEA4E87F245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AE4-4240-89F6-CEA4E87F2454}"/>
              </c:ext>
            </c:extLst>
          </c:dPt>
          <c:dLbls>
            <c:dLbl>
              <c:idx val="0"/>
              <c:layout>
                <c:manualLayout>
                  <c:x val="4.9751243781094526E-3"/>
                  <c:y val="-9.756097560975610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938640132669985"/>
                      <c:h val="0.1036585365853658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AE4-4240-89F6-CEA4E87F24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;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'Report anno 2023'!$B$20:$H$20</c:f>
              <c:strCache>
                <c:ptCount val="7"/>
                <c:pt idx="0">
                  <c:v>Associazioni di tutela</c:v>
                </c:pt>
                <c:pt idx="1">
                  <c:v>Un cittadino per se stesso</c:v>
                </c:pt>
                <c:pt idx="2">
                  <c:v>Un cittadino  per un familiare</c:v>
                </c:pt>
                <c:pt idx="3">
                  <c:v>Stampa</c:v>
                </c:pt>
                <c:pt idx="4">
                  <c:v>Call Center</c:v>
                </c:pt>
                <c:pt idx="5">
                  <c:v>Associazioni</c:v>
                </c:pt>
                <c:pt idx="6">
                  <c:v>Anonimo</c:v>
                </c:pt>
              </c:strCache>
            </c:strRef>
          </c:cat>
          <c:val>
            <c:numRef>
              <c:f>'Report anno 2023'!$B$21:$H$21</c:f>
              <c:numCache>
                <c:formatCode>General</c:formatCode>
                <c:ptCount val="7"/>
                <c:pt idx="0">
                  <c:v>1</c:v>
                </c:pt>
                <c:pt idx="1">
                  <c:v>71</c:v>
                </c:pt>
                <c:pt idx="2">
                  <c:v>31</c:v>
                </c:pt>
                <c:pt idx="3">
                  <c:v>3</c:v>
                </c:pt>
                <c:pt idx="5">
                  <c:v>9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AE4-4240-89F6-CEA4E87F245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Vittori</dc:creator>
  <cp:keywords/>
  <dc:description/>
  <cp:lastModifiedBy>Elisabetta Vittori</cp:lastModifiedBy>
  <cp:revision>1</cp:revision>
  <dcterms:created xsi:type="dcterms:W3CDTF">2024-12-03T16:09:00Z</dcterms:created>
  <dcterms:modified xsi:type="dcterms:W3CDTF">2024-12-03T16:10:00Z</dcterms:modified>
</cp:coreProperties>
</file>